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5B" w:rsidRDefault="00332D4E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after="240"/>
        <w:ind w:right="4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РЕКОМЕНДУЕМАЯ СТРУКТУРА КУРСОВОЙ РАБОТЫ</w:t>
      </w:r>
    </w:p>
    <w:p w:rsidR="003E445B" w:rsidRDefault="003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3E445B" w:rsidRDefault="00332D4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Краткая характеристика организации</w:t>
      </w:r>
    </w:p>
    <w:p w:rsidR="00332D4E" w:rsidRDefault="00332D4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баланса организации</w:t>
      </w:r>
    </w:p>
    <w:p w:rsidR="003E445B" w:rsidRDefault="00332D4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финансовых результатов</w:t>
      </w:r>
    </w:p>
    <w:p w:rsidR="003E445B" w:rsidRDefault="00332D4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Аналитическая характеристика активов предприятия</w:t>
      </w:r>
    </w:p>
    <w:p w:rsidR="003E445B" w:rsidRDefault="003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53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Анализ иммобилизованных активов предприятия</w:t>
      </w:r>
    </w:p>
    <w:p w:rsidR="003E445B" w:rsidRDefault="003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176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Анализ мобильных активов предприятия</w:t>
      </w:r>
    </w:p>
    <w:p w:rsidR="003E445B" w:rsidRDefault="00332D4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собственного капитала организации</w:t>
      </w:r>
    </w:p>
    <w:p w:rsidR="003E445B" w:rsidRDefault="00332D4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собственных оборотных сре</w:t>
      </w:r>
      <w:proofErr w:type="gramStart"/>
      <w:r>
        <w:rPr>
          <w:color w:val="000000"/>
          <w:sz w:val="28"/>
          <w:szCs w:val="28"/>
        </w:rPr>
        <w:t>дств  пр</w:t>
      </w:r>
      <w:proofErr w:type="gramEnd"/>
      <w:r>
        <w:rPr>
          <w:color w:val="000000"/>
          <w:sz w:val="28"/>
          <w:szCs w:val="28"/>
        </w:rPr>
        <w:t>едприятия</w:t>
      </w:r>
    </w:p>
    <w:p w:rsidR="003E445B" w:rsidRDefault="00332D4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и структура заемного капитала </w:t>
      </w:r>
      <w:proofErr w:type="gramStart"/>
      <w:r>
        <w:rPr>
          <w:color w:val="000000"/>
          <w:sz w:val="28"/>
          <w:szCs w:val="28"/>
        </w:rPr>
        <w:t>предприятии</w:t>
      </w:r>
      <w:proofErr w:type="gramEnd"/>
    </w:p>
    <w:p w:rsidR="003E445B" w:rsidRDefault="00332D4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ликвидности баланса</w:t>
      </w:r>
    </w:p>
    <w:p w:rsidR="003E445B" w:rsidRDefault="00332D4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текущей платежеспособности предприятия</w:t>
      </w:r>
    </w:p>
    <w:p w:rsidR="00332D4E" w:rsidRDefault="00332D4E" w:rsidP="00332D4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долгосрочной платежеспособности пре</w:t>
      </w:r>
      <w:r>
        <w:rPr>
          <w:color w:val="000000"/>
          <w:sz w:val="28"/>
          <w:szCs w:val="28"/>
        </w:rPr>
        <w:t>дприятия</w:t>
      </w:r>
    </w:p>
    <w:p w:rsidR="003E445B" w:rsidRDefault="00332D4E" w:rsidP="00332D4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332D4E">
        <w:rPr>
          <w:color w:val="000000"/>
          <w:sz w:val="28"/>
          <w:szCs w:val="28"/>
        </w:rPr>
        <w:t>Анализ общей платежеспособности предприятия</w:t>
      </w:r>
    </w:p>
    <w:p w:rsidR="00332D4E" w:rsidRDefault="00332D4E" w:rsidP="00332D4E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332D4E" w:rsidRPr="00332D4E" w:rsidRDefault="00332D4E" w:rsidP="00332D4E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ИСПОЛЬЗОВАННЫХ ИСТОЧНИКОВ</w:t>
      </w:r>
    </w:p>
    <w:sectPr w:rsidR="00332D4E" w:rsidRPr="00332D4E" w:rsidSect="003E445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42178"/>
    <w:multiLevelType w:val="multilevel"/>
    <w:tmpl w:val="73C6E4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445B"/>
    <w:rsid w:val="00332D4E"/>
    <w:rsid w:val="003E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E44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E44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E44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E44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E44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E445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E445B"/>
  </w:style>
  <w:style w:type="table" w:customStyle="1" w:styleId="TableNormal">
    <w:name w:val="Table Normal"/>
    <w:rsid w:val="003E44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E445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E44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>fbguep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emm2</dc:creator>
  <cp:lastModifiedBy>emm2</cp:lastModifiedBy>
  <cp:revision>2</cp:revision>
  <dcterms:created xsi:type="dcterms:W3CDTF">2023-10-04T03:29:00Z</dcterms:created>
  <dcterms:modified xsi:type="dcterms:W3CDTF">2023-10-04T03:29:00Z</dcterms:modified>
</cp:coreProperties>
</file>