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1A" w:rsidRDefault="006B611A" w:rsidP="006B6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1A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зачету (экзамену) по дисциплине </w:t>
      </w:r>
    </w:p>
    <w:p w:rsidR="00C85CE0" w:rsidRDefault="006B611A" w:rsidP="006B6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1A">
        <w:rPr>
          <w:rFonts w:ascii="Times New Roman" w:hAnsi="Times New Roman" w:cs="Times New Roman"/>
          <w:b/>
          <w:sz w:val="28"/>
          <w:szCs w:val="28"/>
        </w:rPr>
        <w:t>«Уголовный процесс»</w:t>
      </w:r>
    </w:p>
    <w:p w:rsidR="006B611A" w:rsidRDefault="006B611A" w:rsidP="006B611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1"/>
        <w:rPr>
          <w:b/>
          <w:bCs/>
          <w:color w:val="000000"/>
          <w:kern w:val="36"/>
          <w:sz w:val="28"/>
          <w:szCs w:val="28"/>
          <w:shd w:val="clear" w:color="auto" w:fill="FFFFFF"/>
        </w:rPr>
      </w:pPr>
    </w:p>
    <w:p w:rsidR="006B611A" w:rsidRPr="004507FD" w:rsidRDefault="006B611A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Понятие, сущность и значение уголовного процесса</w:t>
      </w:r>
    </w:p>
    <w:p w:rsidR="006B611A" w:rsidRPr="004507FD" w:rsidRDefault="006B611A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Стадии и производства в системе уголовного процесса</w:t>
      </w:r>
    </w:p>
    <w:p w:rsidR="006B611A" w:rsidRPr="004507FD" w:rsidRDefault="006B611A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Уголовно-процессуальные правоотношения </w:t>
      </w:r>
    </w:p>
    <w:p w:rsidR="006B611A" w:rsidRPr="004507FD" w:rsidRDefault="006B611A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Уголовно-процессуальные функции</w:t>
      </w:r>
    </w:p>
    <w:p w:rsidR="006B611A" w:rsidRPr="004507FD" w:rsidRDefault="006B611A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Процессуальная форма</w:t>
      </w:r>
    </w:p>
    <w:p w:rsidR="006B611A" w:rsidRPr="004507FD" w:rsidRDefault="006B611A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Уголовно-процессуальные акты</w:t>
      </w:r>
    </w:p>
    <w:p w:rsidR="006B611A" w:rsidRPr="004507FD" w:rsidRDefault="006B611A" w:rsidP="004507F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Уголовно-процессуальные гарантии</w:t>
      </w:r>
    </w:p>
    <w:p w:rsidR="006B611A" w:rsidRPr="004507FD" w:rsidRDefault="006B611A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Уголовно-процессуальный закон (Понятие, значение, система, действие во времени, в пространстве и по кругу лиц)</w:t>
      </w:r>
    </w:p>
    <w:p w:rsidR="006B611A" w:rsidRPr="004507FD" w:rsidRDefault="006B611A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Принципы уголовного судопроизводства (Понятие и значение, система).</w:t>
      </w:r>
    </w:p>
    <w:p w:rsidR="00A46799" w:rsidRPr="004507FD" w:rsidRDefault="00A46799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Понятие и классификация участников уголовного судопроизводства. Суд в системе субъектов уголовного процесса.</w:t>
      </w:r>
    </w:p>
    <w:p w:rsidR="00A46799" w:rsidRPr="004507FD" w:rsidRDefault="00A46799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Участники уголовного судопроизводства со стороны обвинения.</w:t>
      </w:r>
    </w:p>
    <w:p w:rsidR="00A46799" w:rsidRPr="004507FD" w:rsidRDefault="00A46799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Участники уголовного судопроизводства со стороны защиты.</w:t>
      </w:r>
    </w:p>
    <w:p w:rsidR="00A46799" w:rsidRPr="004507FD" w:rsidRDefault="00A46799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Общие положения учения о доказательствах и доказывании.</w:t>
      </w:r>
    </w:p>
    <w:p w:rsidR="00A46799" w:rsidRPr="004507FD" w:rsidRDefault="00A46799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Виды источников доказательств в уголовном процессе</w:t>
      </w:r>
      <w:r w:rsidR="004507FD">
        <w:rPr>
          <w:bCs/>
          <w:color w:val="000000"/>
          <w:kern w:val="36"/>
          <w:sz w:val="28"/>
          <w:szCs w:val="28"/>
          <w:shd w:val="clear" w:color="auto" w:fill="FFFFFF"/>
        </w:rPr>
        <w:t>.</w:t>
      </w:r>
    </w:p>
    <w:p w:rsidR="00A46799" w:rsidRPr="004507FD" w:rsidRDefault="00A46799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Понятие и виды мер процессуального принуждения. Меры пресечения: сущность, виды, основания и условия применения</w:t>
      </w:r>
      <w:r w:rsidR="004507FD">
        <w:rPr>
          <w:bCs/>
          <w:color w:val="000000"/>
          <w:kern w:val="36"/>
          <w:sz w:val="28"/>
          <w:szCs w:val="28"/>
          <w:shd w:val="clear" w:color="auto" w:fill="FFFFFF"/>
        </w:rPr>
        <w:t>.</w:t>
      </w:r>
    </w:p>
    <w:p w:rsidR="004507FD" w:rsidRDefault="00A46799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Порядок применения в качестве меры пресечения заключения под стражу</w:t>
      </w:r>
      <w:r w:rsidR="004507FD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. </w:t>
      </w:r>
    </w:p>
    <w:p w:rsidR="00A46799" w:rsidRPr="004507FD" w:rsidRDefault="00A46799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Понятие и значение стадии возбуждения уголовного дела</w:t>
      </w:r>
      <w:r w:rsidR="004507FD">
        <w:rPr>
          <w:bCs/>
          <w:color w:val="000000"/>
          <w:kern w:val="36"/>
          <w:sz w:val="28"/>
          <w:szCs w:val="28"/>
          <w:shd w:val="clear" w:color="auto" w:fill="FFFFFF"/>
        </w:rPr>
        <w:t>.</w:t>
      </w:r>
    </w:p>
    <w:p w:rsidR="00A46799" w:rsidRPr="004507FD" w:rsidRDefault="00A46799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Поводы и основания к возбуждению уголовного дела. Обстоятельства, исключающие производство по уголовному делу</w:t>
      </w:r>
      <w:r w:rsidR="004507FD">
        <w:rPr>
          <w:bCs/>
          <w:color w:val="000000"/>
          <w:kern w:val="36"/>
          <w:sz w:val="28"/>
          <w:szCs w:val="28"/>
          <w:shd w:val="clear" w:color="auto" w:fill="FFFFFF"/>
        </w:rPr>
        <w:t>.</w:t>
      </w:r>
    </w:p>
    <w:p w:rsidR="00A46799" w:rsidRPr="004507FD" w:rsidRDefault="00A46799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Решения, принимаемые в стадии возбуждения уголовного дела</w:t>
      </w:r>
      <w:r w:rsidR="004507FD">
        <w:rPr>
          <w:bCs/>
          <w:color w:val="000000"/>
          <w:kern w:val="36"/>
          <w:sz w:val="28"/>
          <w:szCs w:val="28"/>
          <w:shd w:val="clear" w:color="auto" w:fill="FFFFFF"/>
        </w:rPr>
        <w:t>.</w:t>
      </w:r>
    </w:p>
    <w:p w:rsidR="00A46799" w:rsidRPr="004507FD" w:rsidRDefault="00A46799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Понятие, задачи и значение стадии предварительного расследования</w:t>
      </w:r>
      <w:r w:rsidR="004507FD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. </w:t>
      </w: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Формы предварительного расследования.</w:t>
      </w:r>
    </w:p>
    <w:p w:rsidR="00A46799" w:rsidRPr="004507FD" w:rsidRDefault="00A46799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lastRenderedPageBreak/>
        <w:t>Общие условия предварительного расследования.</w:t>
      </w:r>
    </w:p>
    <w:p w:rsidR="00A46799" w:rsidRPr="004507FD" w:rsidRDefault="00A46799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Дознание</w:t>
      </w:r>
      <w:r w:rsidR="003A03BC" w:rsidRPr="004507FD">
        <w:rPr>
          <w:bCs/>
          <w:color w:val="000000"/>
          <w:kern w:val="36"/>
          <w:sz w:val="28"/>
          <w:szCs w:val="28"/>
          <w:shd w:val="clear" w:color="auto" w:fill="FFFFFF"/>
        </w:rPr>
        <w:t>.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Понятие и общая характеристика следственных действий, правил их производства и оформления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Виды следственных действий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Понятие и значение привлечения лица в качестве обвиняемого. Основания и процессуальный порядок привлечения в качестве обвиняемого.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Допрос обвиняемого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Изменение и дополнение обвинения. Частичное прекращение уголовного преследования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Приостановления предварительного следствия</w:t>
      </w:r>
      <w:proofErr w:type="gramStart"/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.</w:t>
      </w:r>
      <w:proofErr w:type="gramEnd"/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(</w:t>
      </w:r>
      <w:proofErr w:type="gramStart"/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</w:t>
      </w:r>
      <w:proofErr w:type="gramEnd"/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онятие и значение, основания) 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Условия и процесс</w:t>
      </w:r>
      <w:r w:rsidR="004507FD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уальный порядок приостановления </w:t>
      </w: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предварительного следствия. Возобновление приостановленного предварительного следствия.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Понятие и формы окончания предварительного расследования.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Прекращение уголовного дела: основания и процессуальный порядок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Окончание предварительного следствия составлением обвинительного заключения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Обвинительное заключение: понятие, значение, структура и содержание. Действия и решения прокурора по делу, поступившему с обвинительным заключением.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Сущность и значение стадии подготовки дела к судебному заседанию. Порядок подготовки к судебному заседанию. Вопросы, разрешаемые судьей при подготовке дела к судебному заседанию.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Решения, принимаемые судьей в стадии совершения подготовительных действий.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Общие условия судебного разбирательства (понятие и значение, система).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lastRenderedPageBreak/>
        <w:t xml:space="preserve">Подготовительная часть судебного заседания 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Судебное следствие</w:t>
      </w:r>
    </w:p>
    <w:p w:rsidR="003A03BC" w:rsidRPr="004507FD" w:rsidRDefault="003A03BC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Прения сторон и последнее слово подсудимого</w:t>
      </w:r>
    </w:p>
    <w:p w:rsidR="003E424D" w:rsidRPr="004507FD" w:rsidRDefault="003E424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Понятие и свойства приговора. Виды приговоров</w:t>
      </w:r>
    </w:p>
    <w:p w:rsidR="003A03BC" w:rsidRPr="004507FD" w:rsidRDefault="003E424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Порядок постановления приговора.</w:t>
      </w:r>
    </w:p>
    <w:p w:rsidR="003E424D" w:rsidRPr="004507FD" w:rsidRDefault="003E424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Содержание и форма приговора. Провозглашение приговора</w:t>
      </w:r>
    </w:p>
    <w:p w:rsidR="003E424D" w:rsidRPr="004507FD" w:rsidRDefault="003E424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Особый порядок судебного разбирательства.</w:t>
      </w:r>
    </w:p>
    <w:p w:rsidR="003E424D" w:rsidRPr="004507FD" w:rsidRDefault="003E424D" w:rsidP="004507FD">
      <w:pPr>
        <w:pStyle w:val="a4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07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Производство у мирового судьи.</w:t>
      </w:r>
    </w:p>
    <w:p w:rsidR="003E424D" w:rsidRPr="004507FD" w:rsidRDefault="003E424D" w:rsidP="004507FD">
      <w:pPr>
        <w:pStyle w:val="a4"/>
        <w:numPr>
          <w:ilvl w:val="0"/>
          <w:numId w:val="1"/>
        </w:numPr>
        <w:spacing w:after="0" w:line="360" w:lineRule="auto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Судебное разбирательство с участием присяжных.</w:t>
      </w:r>
    </w:p>
    <w:p w:rsidR="003E424D" w:rsidRPr="004507FD" w:rsidRDefault="003E424D" w:rsidP="004507FD">
      <w:pPr>
        <w:pStyle w:val="a4"/>
        <w:numPr>
          <w:ilvl w:val="0"/>
          <w:numId w:val="1"/>
        </w:numPr>
        <w:spacing w:after="0" w:line="360" w:lineRule="auto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Понятие и формы производства в суде второй инстанции.</w:t>
      </w:r>
    </w:p>
    <w:p w:rsidR="003E424D" w:rsidRPr="004507FD" w:rsidRDefault="003E424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Субъекты и порядок апелляционного и кассационного обжалования. Порядок производства в суде второй инстанции</w:t>
      </w:r>
    </w:p>
    <w:p w:rsidR="003E424D" w:rsidRPr="004507FD" w:rsidRDefault="003E424D" w:rsidP="004507FD">
      <w:pPr>
        <w:pStyle w:val="a4"/>
        <w:numPr>
          <w:ilvl w:val="0"/>
          <w:numId w:val="1"/>
        </w:numPr>
        <w:spacing w:after="0" w:line="360" w:lineRule="auto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Пределы рассмотрения уголовного дела судом апелляционной и кассационной инстанции.</w:t>
      </w:r>
    </w:p>
    <w:p w:rsidR="003E424D" w:rsidRPr="004507FD" w:rsidRDefault="003E424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Исполнение приговора.</w:t>
      </w:r>
    </w:p>
    <w:p w:rsidR="003E424D" w:rsidRPr="004507FD" w:rsidRDefault="003E424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Понятие и значение производства в надзорной инстанции.</w:t>
      </w:r>
    </w:p>
    <w:p w:rsidR="003E424D" w:rsidRPr="004507FD" w:rsidRDefault="003E424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Порядок производства в суде надзорной инстанции.</w:t>
      </w:r>
    </w:p>
    <w:p w:rsidR="003E424D" w:rsidRPr="004507FD" w:rsidRDefault="003E424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Пределы прав надзорной инстанции.</w:t>
      </w:r>
    </w:p>
    <w:p w:rsidR="003E424D" w:rsidRPr="004507FD" w:rsidRDefault="003E424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Понятие и основания возобновления дел ввиду новых или вновь открывшихся обстоятельств.</w:t>
      </w:r>
    </w:p>
    <w:p w:rsidR="003E424D" w:rsidRPr="004507FD" w:rsidRDefault="003E424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Сроки и порядок возобновления дел ввиду новых или вновь открывшихся обстоятельств.</w:t>
      </w:r>
    </w:p>
    <w:p w:rsidR="003E424D" w:rsidRPr="004507FD" w:rsidRDefault="003E424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Производство по уголовным делам в отношении несовершеннолетних.</w:t>
      </w:r>
    </w:p>
    <w:p w:rsidR="003E424D" w:rsidRPr="004507FD" w:rsidRDefault="004507F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Производство по применению принудительных мер медицинского характера.</w:t>
      </w:r>
    </w:p>
    <w:p w:rsidR="004507FD" w:rsidRDefault="004507F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Особенности производства по уголовным делам в отношении отдельных категорий лиц.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</w:p>
    <w:p w:rsidR="006B611A" w:rsidRPr="004507FD" w:rsidRDefault="004507FD" w:rsidP="004507F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4507FD">
        <w:rPr>
          <w:bCs/>
          <w:color w:val="000000"/>
          <w:kern w:val="36"/>
          <w:sz w:val="28"/>
          <w:szCs w:val="28"/>
          <w:shd w:val="clear" w:color="auto" w:fill="FFFFFF"/>
        </w:rPr>
        <w:t>Международное сотрудничество в сфере уголовного судопроизводства.</w:t>
      </w:r>
    </w:p>
    <w:sectPr w:rsidR="006B611A" w:rsidRPr="004507FD" w:rsidSect="00C8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03C33"/>
    <w:multiLevelType w:val="hybridMultilevel"/>
    <w:tmpl w:val="8566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11A"/>
    <w:rsid w:val="003A03BC"/>
    <w:rsid w:val="003E424D"/>
    <w:rsid w:val="004507FD"/>
    <w:rsid w:val="006B611A"/>
    <w:rsid w:val="00A46799"/>
    <w:rsid w:val="00C8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2</cp:revision>
  <dcterms:created xsi:type="dcterms:W3CDTF">2020-05-10T12:33:00Z</dcterms:created>
  <dcterms:modified xsi:type="dcterms:W3CDTF">2020-05-10T13:18:00Z</dcterms:modified>
</cp:coreProperties>
</file>