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D2" w:rsidRDefault="002F1BD2" w:rsidP="002F1BD2">
      <w:pPr>
        <w:spacing w:after="0"/>
      </w:pPr>
      <w:r>
        <w:t>Организация работы органов и учреждений социальной защиты</w:t>
      </w:r>
    </w:p>
    <w:p w:rsidR="002F1BD2" w:rsidRDefault="002F1BD2" w:rsidP="002F1BD2">
      <w:pPr>
        <w:spacing w:after="0"/>
      </w:pPr>
      <w:r>
        <w:t>населения, органов Пенсионного Фонда Российской Федерации</w:t>
      </w:r>
    </w:p>
    <w:p w:rsidR="002F1BD2" w:rsidRDefault="002F1BD2" w:rsidP="002F1BD2">
      <w:pPr>
        <w:spacing w:after="0"/>
        <w:jc w:val="left"/>
      </w:pP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Понятие социальной защиты населения и социального обеспечения.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 xml:space="preserve">Организационно-правовые формы государственной системы </w:t>
      </w:r>
      <w:proofErr w:type="gramStart"/>
      <w:r>
        <w:t>социального</w:t>
      </w:r>
      <w:proofErr w:type="gramEnd"/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обеспечения.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 xml:space="preserve">Понятие государственной системы социального обеспечения. 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Государственная пенсионная система.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Страховая пенсионная система.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Бюджетная пенсионная система.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Источники финансирования пенсионных систем.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Условия предоставления пенсий.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Государственная система социальных пособий и компенсационных выплат.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Система социальных пособий.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Система социальных компенсационных выплат.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Система социального обслуживания и социальных услуг.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Государственная система охраны здоровья граждан.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Общая характеристика органов социального обеспечения.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Организация работы органов социального обеспечения.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Планирование работы органов социального обеспечения.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Работа с обращениями граждан.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Ведение справочно-кодификационной работы.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Организация работы по социальному обслуживанию граждан пожилого возраста и</w:t>
      </w:r>
      <w:r>
        <w:t xml:space="preserve"> </w:t>
      </w:r>
      <w:r>
        <w:t>инвалидов.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Типы учреждений социального обслуживания.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Стационарные учреждения социального обслуживания.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proofErr w:type="spellStart"/>
      <w:r>
        <w:t>Полустационарное</w:t>
      </w:r>
      <w:proofErr w:type="spellEnd"/>
      <w:r>
        <w:t xml:space="preserve"> социальное обслуживание.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Социальное обслуживание детей.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Социальная реабилитация инвалидов.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Работа органов социальной защиты населения с общественностью.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Общая характеристика органов пенсионного обеспечения.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Организация работы Пенсионного фонда РФ.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Организация работы органов Пенсионного фонда РФ в районах (городах).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Представление граждан к пенсии.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Подготовка и оформление пенсионного дела.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Расчет и назначение пенсии.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 xml:space="preserve">Организация индивидуального (персонифицированного) </w:t>
      </w:r>
      <w:proofErr w:type="gramStart"/>
      <w:r>
        <w:t>учета</w:t>
      </w:r>
      <w:proofErr w:type="gramEnd"/>
      <w:r>
        <w:t xml:space="preserve"> а системе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обязательного пенсионного страхования.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 xml:space="preserve">Организация работы Фонда социального страхования РФ. 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Общая характеристика системы органов занятости населения.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lastRenderedPageBreak/>
        <w:t>Общая характеристика осуществления медицинской помощи гражданам.</w:t>
      </w:r>
    </w:p>
    <w:p w:rsidR="002F1BD2" w:rsidRDefault="002F1BD2" w:rsidP="002F1BD2">
      <w:pPr>
        <w:pStyle w:val="a3"/>
        <w:numPr>
          <w:ilvl w:val="0"/>
          <w:numId w:val="1"/>
        </w:numPr>
        <w:spacing w:after="0"/>
        <w:ind w:left="851" w:hanging="491"/>
        <w:jc w:val="left"/>
      </w:pPr>
      <w:r>
        <w:t>Общая характеристика обязательного медицинского страхования.</w:t>
      </w:r>
    </w:p>
    <w:p w:rsidR="002F1BD2" w:rsidRDefault="002F1BD2">
      <w:pPr>
        <w:spacing w:after="0"/>
        <w:jc w:val="left"/>
      </w:pPr>
    </w:p>
    <w:sectPr w:rsidR="002F1BD2" w:rsidSect="005F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0188"/>
    <w:multiLevelType w:val="hybridMultilevel"/>
    <w:tmpl w:val="E100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1BD2"/>
    <w:rsid w:val="000433CF"/>
    <w:rsid w:val="002F1BD2"/>
    <w:rsid w:val="003A16DF"/>
    <w:rsid w:val="005F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Company>fbguep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norkina</cp:lastModifiedBy>
  <cp:revision>3</cp:revision>
  <dcterms:created xsi:type="dcterms:W3CDTF">2021-11-25T05:13:00Z</dcterms:created>
  <dcterms:modified xsi:type="dcterms:W3CDTF">2021-11-25T05:19:00Z</dcterms:modified>
</cp:coreProperties>
</file>