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96" w:rsidRPr="009C2496" w:rsidRDefault="007079D4" w:rsidP="007079D4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Лекция 5. 3 неделя.  </w:t>
      </w:r>
      <w:r w:rsidR="009C2496" w:rsidRPr="009C2496">
        <w:rPr>
          <w:sz w:val="28"/>
          <w:szCs w:val="28"/>
        </w:rPr>
        <w:t>Лесозаготовительная и лесоперерабатывающая промышленность</w:t>
      </w:r>
      <w:r>
        <w:rPr>
          <w:sz w:val="28"/>
          <w:szCs w:val="28"/>
        </w:rPr>
        <w:t xml:space="preserve"> Иркутской области</w:t>
      </w:r>
    </w:p>
    <w:p w:rsidR="009C2496" w:rsidRPr="009C2496" w:rsidRDefault="009C2496" w:rsidP="009C2496">
      <w:pPr>
        <w:pStyle w:val="a3"/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В Иркутской области накоплен немалый опыт в использовании лесного ресурса для развития народного хозяйства. Лесопромышленный комплекс области представлен образующими отраслями: лесозаготовительной, деревообрабатывающей, целлюлозно-бумажной и лесохимической.  </w:t>
      </w:r>
      <w:r w:rsidRPr="009C2496">
        <w:rPr>
          <w:sz w:val="28"/>
          <w:szCs w:val="28"/>
        </w:rPr>
        <w:br/>
      </w:r>
      <w:r w:rsidRPr="009C2496">
        <w:rPr>
          <w:sz w:val="28"/>
          <w:szCs w:val="28"/>
        </w:rPr>
        <w:br/>
        <w:t xml:space="preserve">Развитию лесной промышленности </w:t>
      </w:r>
      <w:proofErr w:type="spellStart"/>
      <w:r w:rsidRPr="009C2496">
        <w:rPr>
          <w:sz w:val="28"/>
          <w:szCs w:val="28"/>
        </w:rPr>
        <w:t>Приангарья</w:t>
      </w:r>
      <w:proofErr w:type="spellEnd"/>
      <w:r w:rsidRPr="009C2496">
        <w:rPr>
          <w:sz w:val="28"/>
          <w:szCs w:val="28"/>
        </w:rPr>
        <w:t xml:space="preserve"> способствовало бурное индустриальное освоение Сибири, начавшееся с середины 50-х годов. В регионе резко увеличивались лесозаготовки, стали вводиться в эксплуатацию крупные лесопромышленные комбинаты - Байкальский ЦБК, Братский и </w:t>
      </w:r>
      <w:proofErr w:type="spellStart"/>
      <w:r w:rsidRPr="009C2496">
        <w:rPr>
          <w:sz w:val="28"/>
          <w:szCs w:val="28"/>
        </w:rPr>
        <w:t>Усть-Илимский</w:t>
      </w:r>
      <w:proofErr w:type="spellEnd"/>
      <w:r w:rsidRPr="009C2496">
        <w:rPr>
          <w:sz w:val="28"/>
          <w:szCs w:val="28"/>
        </w:rPr>
        <w:t xml:space="preserve"> ЛПК. Эти предприятия сегодня дают около 70% всей продукции лесного комплекса </w:t>
      </w:r>
      <w:proofErr w:type="spellStart"/>
      <w:r w:rsidRPr="009C2496">
        <w:rPr>
          <w:sz w:val="28"/>
          <w:szCs w:val="28"/>
        </w:rPr>
        <w:t>Приангарья</w:t>
      </w:r>
      <w:proofErr w:type="spellEnd"/>
      <w:r w:rsidRPr="009C2496">
        <w:rPr>
          <w:sz w:val="28"/>
          <w:szCs w:val="28"/>
        </w:rPr>
        <w:t xml:space="preserve">.  </w:t>
      </w:r>
      <w:r w:rsidRPr="009C2496">
        <w:rPr>
          <w:sz w:val="28"/>
          <w:szCs w:val="28"/>
        </w:rPr>
        <w:br/>
      </w:r>
      <w:r w:rsidRPr="009C2496">
        <w:rPr>
          <w:sz w:val="28"/>
          <w:szCs w:val="28"/>
        </w:rPr>
        <w:br/>
        <w:t xml:space="preserve">Начиная с 1998 года, спад производства приостановился и в работе лесопромышленного комплекса области наметился рост объемов производства. </w:t>
      </w:r>
      <w:r w:rsidRPr="009C2496">
        <w:rPr>
          <w:sz w:val="28"/>
          <w:szCs w:val="28"/>
        </w:rPr>
        <w:br/>
        <w:t xml:space="preserve">В таблице приведена динамика объемов производства основных видов </w:t>
      </w:r>
      <w:proofErr w:type="spellStart"/>
      <w:r w:rsidRPr="009C2496">
        <w:rPr>
          <w:sz w:val="28"/>
          <w:szCs w:val="28"/>
        </w:rPr>
        <w:t>лесопродукции</w:t>
      </w:r>
      <w:proofErr w:type="spellEnd"/>
      <w:r w:rsidRPr="009C2496">
        <w:rPr>
          <w:sz w:val="28"/>
          <w:szCs w:val="28"/>
        </w:rPr>
        <w:t xml:space="preserve"> по Иркутской области за период с 1989 по 2006 гг. </w:t>
      </w:r>
      <w:r w:rsidRPr="009C2496">
        <w:rPr>
          <w:sz w:val="28"/>
          <w:szCs w:val="28"/>
        </w:rPr>
        <w:br/>
      </w:r>
      <w:r w:rsidRPr="009C2496">
        <w:rPr>
          <w:sz w:val="28"/>
          <w:szCs w:val="28"/>
        </w:rPr>
        <w:br/>
      </w:r>
      <w:r w:rsidRPr="009C2496">
        <w:rPr>
          <w:rStyle w:val="a4"/>
          <w:sz w:val="28"/>
          <w:szCs w:val="28"/>
        </w:rPr>
        <w:t>Динамика объемов производства основных видов лесоматериалов по Иркутской области</w:t>
      </w:r>
      <w:r w:rsidRPr="009C2496">
        <w:rPr>
          <w:sz w:val="28"/>
          <w:szCs w:val="28"/>
        </w:rPr>
        <w:t xml:space="preserve"> </w:t>
      </w:r>
      <w:r w:rsidRPr="009C2496">
        <w:rPr>
          <w:sz w:val="28"/>
          <w:szCs w:val="28"/>
        </w:rPr>
        <w:br/>
        <w:t>(по крупным и средним предприятиям)</w:t>
      </w:r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> </w:t>
      </w:r>
    </w:p>
    <w:tbl>
      <w:tblPr>
        <w:tblW w:w="46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475"/>
        <w:gridCol w:w="595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594"/>
        <w:gridCol w:w="667"/>
      </w:tblGrid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Вид</w:t>
            </w:r>
            <w:r w:rsidRPr="009C2496">
              <w:rPr>
                <w:sz w:val="28"/>
                <w:szCs w:val="28"/>
              </w:rPr>
              <w:t xml:space="preserve"> </w:t>
            </w:r>
            <w:r w:rsidRPr="009C2496">
              <w:rPr>
                <w:b/>
                <w:bCs/>
                <w:sz w:val="28"/>
                <w:szCs w:val="28"/>
              </w:rPr>
              <w:br/>
            </w:r>
            <w:r w:rsidRPr="009C2496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 xml:space="preserve">Ед. </w:t>
            </w:r>
            <w:proofErr w:type="spellStart"/>
            <w:r w:rsidRPr="009C2496">
              <w:rPr>
                <w:rStyle w:val="a4"/>
                <w:sz w:val="28"/>
                <w:szCs w:val="28"/>
              </w:rPr>
              <w:t>изм</w:t>
            </w:r>
            <w:proofErr w:type="spellEnd"/>
            <w:r w:rsidRPr="009C2496">
              <w:rPr>
                <w:rStyle w:val="a4"/>
                <w:sz w:val="28"/>
                <w:szCs w:val="28"/>
              </w:rPr>
              <w:t>.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1989г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1996г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1997г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1998г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1999г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2000г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2001г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2002г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2003г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2004г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2005г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2006г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Заготовка древесины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млн.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37,8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9,8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18,5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17,8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19,4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19,5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21.8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20.9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21,7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Пиломатериалы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млн.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8,8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2,6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ДСП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тыс.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186,6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65,4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52,5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80,8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112,0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111,5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108,9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137,2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157.8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170,9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157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ДВП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млн. м²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44,3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22,3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23,2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30,2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26,9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20.6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35,6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Фанера клеёная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тыс.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67,3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72,6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84,1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126,8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136.6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148,6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153,3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lastRenderedPageBreak/>
              <w:t>Целлюлоза товарная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тыс. 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735,0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527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689,4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929,6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1041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1104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1195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1347,2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Бумага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тыс. 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11,1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6,3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4,2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3,3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Картон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тыс. 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90,5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110,5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121,3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162,5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183,3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194,9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214.4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232,4</w:t>
            </w:r>
          </w:p>
        </w:tc>
      </w:tr>
    </w:tbl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> </w:t>
      </w:r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b/>
          <w:bCs/>
          <w:sz w:val="28"/>
          <w:szCs w:val="28"/>
        </w:rPr>
        <w:br/>
      </w:r>
      <w:proofErr w:type="gramStart"/>
      <w:r w:rsidRPr="009C2496">
        <w:rPr>
          <w:rStyle w:val="a4"/>
          <w:sz w:val="28"/>
          <w:szCs w:val="28"/>
        </w:rPr>
        <w:t>Численность работающих в отраслях промышленности</w:t>
      </w:r>
      <w:r w:rsidRPr="009C2496">
        <w:rPr>
          <w:sz w:val="28"/>
          <w:szCs w:val="28"/>
        </w:rPr>
        <w:t xml:space="preserve"> </w:t>
      </w:r>
      <w:proofErr w:type="gramEnd"/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>Лесопромышленный комплекс – 54 тыс</w:t>
      </w:r>
      <w:proofErr w:type="gramStart"/>
      <w:r w:rsidRPr="009C2496">
        <w:rPr>
          <w:sz w:val="28"/>
          <w:szCs w:val="28"/>
        </w:rPr>
        <w:t>.ч</w:t>
      </w:r>
      <w:proofErr w:type="gramEnd"/>
      <w:r w:rsidRPr="009C2496">
        <w:rPr>
          <w:sz w:val="28"/>
          <w:szCs w:val="28"/>
        </w:rPr>
        <w:t>ел, в т.ч.</w:t>
      </w:r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В области работает более 150 средних и крупных и более 1.5 тыс. мелких предприятий лесопромышленного комплекса разных форм собственности. </w:t>
      </w:r>
      <w:r w:rsidRPr="009C2496">
        <w:rPr>
          <w:sz w:val="28"/>
          <w:szCs w:val="28"/>
        </w:rPr>
        <w:br/>
        <w:t>Доля производства товарной продукции предприятий лесного комплекса в процентах в общем объеме производства товарной продукции области в действующих ценах  составляет 20,5%.</w:t>
      </w:r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>Доля производства лесной продукции Иркутской области в общем объеме производства России за 2006 год составляет: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Заготовка древесины –19%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производство пиломатериалов – 12,2%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производство фанеры – 5,9%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производство ДВП – 9,5%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производства ДСП – 4,3 %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целлюлоза товарная – 56,6 %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целлюлоза по варке – 28,2%</w:t>
      </w:r>
    </w:p>
    <w:p w:rsidR="009C2496" w:rsidRPr="009C2496" w:rsidRDefault="009C2496" w:rsidP="009C249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бумага - 0,05%</w:t>
      </w:r>
    </w:p>
    <w:p w:rsidR="009C2496" w:rsidRPr="009C2496" w:rsidRDefault="009C2496" w:rsidP="009C24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2496">
        <w:rPr>
          <w:sz w:val="28"/>
          <w:szCs w:val="28"/>
        </w:rPr>
        <w:t>картон – 6,7%</w:t>
      </w:r>
    </w:p>
    <w:p w:rsidR="009C2496" w:rsidRPr="009C2496" w:rsidRDefault="009C2496" w:rsidP="009C2496">
      <w:pPr>
        <w:pStyle w:val="a3"/>
        <w:ind w:left="720"/>
        <w:jc w:val="both"/>
        <w:rPr>
          <w:sz w:val="28"/>
          <w:szCs w:val="28"/>
        </w:rPr>
      </w:pPr>
      <w:r w:rsidRPr="009C2496">
        <w:rPr>
          <w:rStyle w:val="a4"/>
          <w:sz w:val="28"/>
          <w:szCs w:val="28"/>
        </w:rPr>
        <w:t xml:space="preserve">Экспорт </w:t>
      </w:r>
      <w:proofErr w:type="spellStart"/>
      <w:r w:rsidRPr="009C2496">
        <w:rPr>
          <w:rStyle w:val="a4"/>
          <w:sz w:val="28"/>
          <w:szCs w:val="28"/>
        </w:rPr>
        <w:t>лесопродукции</w:t>
      </w:r>
      <w:proofErr w:type="spellEnd"/>
      <w:r w:rsidRPr="009C2496">
        <w:rPr>
          <w:sz w:val="28"/>
          <w:szCs w:val="28"/>
        </w:rPr>
        <w:t xml:space="preserve"> </w:t>
      </w:r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Основные поставки </w:t>
      </w:r>
      <w:proofErr w:type="spellStart"/>
      <w:r w:rsidRPr="009C2496">
        <w:rPr>
          <w:sz w:val="28"/>
          <w:szCs w:val="28"/>
        </w:rPr>
        <w:t>лесопродукции</w:t>
      </w:r>
      <w:proofErr w:type="spellEnd"/>
      <w:r w:rsidRPr="009C2496">
        <w:rPr>
          <w:sz w:val="28"/>
          <w:szCs w:val="28"/>
        </w:rPr>
        <w:t xml:space="preserve"> осуществляются в дальнее зарубежье и регионы России. За 2006 год на экспорт поставлено 6,9 млн</w:t>
      </w:r>
      <w:proofErr w:type="gramStart"/>
      <w:r w:rsidRPr="009C2496">
        <w:rPr>
          <w:sz w:val="28"/>
          <w:szCs w:val="28"/>
        </w:rPr>
        <w:t>.м</w:t>
      </w:r>
      <w:proofErr w:type="gramEnd"/>
      <w:r w:rsidRPr="009C2496">
        <w:rPr>
          <w:sz w:val="28"/>
          <w:szCs w:val="28"/>
        </w:rPr>
        <w:t xml:space="preserve">3 круглых лесоматериалов, 1,9 млн.м3 произведенных пиломатериалов, 0,12 млн.м3 фанеры, 1,1 млн. тонн товарной целлюлозы, 0,2 млн. тонн картона. Значительные поставки круглых лесоматериалов в дальнее зарубежье объясняется, прежде всего, ростом поставок частными предпринимателями и мелкими фирмами в Китай (85) Доля поставки круглого леса составляет 30 % от объема заготовки. </w:t>
      </w:r>
      <w:r w:rsidRPr="009C2496">
        <w:rPr>
          <w:sz w:val="28"/>
          <w:szCs w:val="28"/>
        </w:rPr>
        <w:br/>
        <w:t>Главными рынками сбыта лесной продукции являлись страны Юго-Восточной Азии и Тихого океана. Основные поставки круглого леса осуществлялись: в Японию –12,7%т общего объема поставок на экспорт, Китай – 85%</w:t>
      </w:r>
      <w:proofErr w:type="gramStart"/>
      <w:r w:rsidRPr="009C2496">
        <w:rPr>
          <w:sz w:val="28"/>
          <w:szCs w:val="28"/>
        </w:rPr>
        <w:t xml:space="preserve"> ;</w:t>
      </w:r>
      <w:proofErr w:type="gramEnd"/>
      <w:r w:rsidRPr="009C2496">
        <w:rPr>
          <w:sz w:val="28"/>
          <w:szCs w:val="28"/>
        </w:rPr>
        <w:t xml:space="preserve"> пиломатериалов: в Японию – 31,4,6 %, Китай – 20,9%, Египет – 15,1%, Германия –2,7 %, Ирландия -15,7; целлюлозы товарной: Китай –71% , Ирландия –22,5%,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6"/>
        <w:gridCol w:w="2285"/>
        <w:gridCol w:w="3040"/>
      </w:tblGrid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lastRenderedPageBreak/>
              <w:t>Год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>Стоимость млн. $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rStyle w:val="a4"/>
                <w:sz w:val="28"/>
                <w:szCs w:val="28"/>
              </w:rPr>
              <w:t xml:space="preserve">Доля </w:t>
            </w:r>
            <w:proofErr w:type="spellStart"/>
            <w:r w:rsidRPr="009C2496">
              <w:rPr>
                <w:rStyle w:val="a4"/>
                <w:sz w:val="28"/>
                <w:szCs w:val="28"/>
              </w:rPr>
              <w:t>лесопродукции</w:t>
            </w:r>
            <w:proofErr w:type="spellEnd"/>
            <w:r w:rsidRPr="009C2496">
              <w:rPr>
                <w:rStyle w:val="a4"/>
                <w:sz w:val="28"/>
                <w:szCs w:val="28"/>
              </w:rPr>
              <w:t xml:space="preserve">  </w:t>
            </w:r>
            <w:r w:rsidRPr="009C2496">
              <w:rPr>
                <w:b/>
                <w:bCs/>
                <w:sz w:val="28"/>
                <w:szCs w:val="28"/>
              </w:rPr>
              <w:br/>
            </w:r>
            <w:r w:rsidRPr="009C2496">
              <w:rPr>
                <w:rStyle w:val="a4"/>
                <w:sz w:val="28"/>
                <w:szCs w:val="28"/>
              </w:rPr>
              <w:t xml:space="preserve">в экспорте области </w:t>
            </w:r>
            <w:proofErr w:type="gramStart"/>
            <w:r w:rsidRPr="009C2496">
              <w:rPr>
                <w:rStyle w:val="a4"/>
                <w:sz w:val="28"/>
                <w:szCs w:val="28"/>
              </w:rPr>
              <w:t>в</w:t>
            </w:r>
            <w:proofErr w:type="gramEnd"/>
            <w:r w:rsidRPr="009C2496">
              <w:rPr>
                <w:rStyle w:val="a4"/>
                <w:sz w:val="28"/>
                <w:szCs w:val="28"/>
              </w:rPr>
              <w:t xml:space="preserve"> %</w:t>
            </w:r>
            <w:r w:rsidRPr="009C2496">
              <w:rPr>
                <w:sz w:val="28"/>
                <w:szCs w:val="28"/>
              </w:rPr>
              <w:t xml:space="preserve"> 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9C2496">
                <w:rPr>
                  <w:sz w:val="28"/>
                  <w:szCs w:val="28"/>
                </w:rPr>
                <w:t>1997 г</w:t>
              </w:r>
            </w:smartTag>
            <w:r w:rsidRPr="009C24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375,2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17,1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9C2496">
                <w:rPr>
                  <w:sz w:val="28"/>
                  <w:szCs w:val="28"/>
                </w:rPr>
                <w:t>1998 г</w:t>
              </w:r>
            </w:smartTag>
            <w:r w:rsidRPr="009C24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415,0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19,0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9C2496">
                <w:rPr>
                  <w:sz w:val="28"/>
                  <w:szCs w:val="28"/>
                </w:rPr>
                <w:t>1999 г</w:t>
              </w:r>
            </w:smartTag>
            <w:r w:rsidRPr="009C24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530,0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20,8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9C2496">
                <w:rPr>
                  <w:sz w:val="28"/>
                  <w:szCs w:val="28"/>
                </w:rPr>
                <w:t>2000 г</w:t>
              </w:r>
            </w:smartTag>
            <w:r w:rsidRPr="009C24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551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20,3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9C2496">
                <w:rPr>
                  <w:sz w:val="28"/>
                  <w:szCs w:val="28"/>
                </w:rPr>
                <w:t>2001 г</w:t>
              </w:r>
            </w:smartTag>
            <w:r w:rsidRPr="009C24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700,7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28,5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2002г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947,4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29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2003г.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 xml:space="preserve">951,5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28,3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2004г.  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pStyle w:val="a3"/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1097,2           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pStyle w:val="a3"/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27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2005г.  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1323,5               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 31</w:t>
            </w:r>
          </w:p>
        </w:tc>
      </w:tr>
      <w:tr w:rsidR="009C2496" w:rsidRPr="009C2496" w:rsidTr="009C249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2006г.  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1573,4               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496" w:rsidRPr="009C2496" w:rsidRDefault="009C2496" w:rsidP="009C2496">
            <w:pPr>
              <w:jc w:val="both"/>
              <w:rPr>
                <w:sz w:val="28"/>
                <w:szCs w:val="28"/>
              </w:rPr>
            </w:pPr>
            <w:r w:rsidRPr="009C2496">
              <w:rPr>
                <w:sz w:val="28"/>
                <w:szCs w:val="28"/>
              </w:rPr>
              <w:t>27,7</w:t>
            </w:r>
          </w:p>
        </w:tc>
      </w:tr>
    </w:tbl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sz w:val="28"/>
          <w:szCs w:val="28"/>
        </w:rPr>
        <w:t> </w:t>
      </w:r>
    </w:p>
    <w:p w:rsidR="009C2496" w:rsidRPr="009C2496" w:rsidRDefault="009C2496" w:rsidP="009C2496">
      <w:pPr>
        <w:jc w:val="both"/>
        <w:rPr>
          <w:sz w:val="28"/>
          <w:szCs w:val="28"/>
        </w:rPr>
      </w:pPr>
      <w:r w:rsidRPr="009C2496">
        <w:rPr>
          <w:rStyle w:val="a4"/>
          <w:sz w:val="28"/>
          <w:szCs w:val="28"/>
        </w:rPr>
        <w:t xml:space="preserve">Направления развития лесопромышленного комплекса Иркутской области </w:t>
      </w:r>
    </w:p>
    <w:p w:rsidR="009C2496" w:rsidRPr="009C2496" w:rsidRDefault="009C2496" w:rsidP="009C2496">
      <w:pPr>
        <w:pStyle w:val="a3"/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Стратегическим направлением развития лесопромышленного комплекса области принято приоритетное расширение глубокой химической и лесохимической переработки древесины с целью вовлечения в переработку мелкотоварной, низкокачественной и </w:t>
      </w:r>
      <w:proofErr w:type="spellStart"/>
      <w:r w:rsidRPr="009C2496">
        <w:rPr>
          <w:sz w:val="28"/>
          <w:szCs w:val="28"/>
        </w:rPr>
        <w:t>мягколиственной</w:t>
      </w:r>
      <w:proofErr w:type="spellEnd"/>
      <w:r w:rsidRPr="009C2496">
        <w:rPr>
          <w:sz w:val="28"/>
          <w:szCs w:val="28"/>
        </w:rPr>
        <w:t xml:space="preserve"> древесины и получение высокорентабельной продукции. Продукция глубокой переработки древесины является конкурентно-способной, она обеспечивает выход ее на российские и зарубежные рынки, высоко рентабельна и приносит устойчивое поступление в бюджеты всех уровней.  </w:t>
      </w:r>
      <w:r w:rsidRPr="009C2496">
        <w:rPr>
          <w:sz w:val="28"/>
          <w:szCs w:val="28"/>
        </w:rPr>
        <w:br/>
      </w:r>
      <w:r w:rsidRPr="009C2496">
        <w:rPr>
          <w:sz w:val="28"/>
          <w:szCs w:val="28"/>
        </w:rPr>
        <w:br/>
        <w:t xml:space="preserve">Разработаны инвестиционные предложения по освоению и расширению имеющихся мощностей глубокой химической и механической переработки древесины, а также ввода новых производств лесопильных и деревообрабатывающих производств, ориентированных на глубокую переработку древесины, их реализация предусматривается в комплексе с экономическими, социальными, техническими и экологическими проблемами.  </w:t>
      </w:r>
      <w:r w:rsidRPr="009C2496">
        <w:rPr>
          <w:sz w:val="28"/>
          <w:szCs w:val="28"/>
        </w:rPr>
        <w:br/>
      </w:r>
      <w:r w:rsidRPr="009C2496">
        <w:rPr>
          <w:sz w:val="28"/>
          <w:szCs w:val="28"/>
        </w:rPr>
        <w:br/>
        <w:t xml:space="preserve">Одним из обязательных условий в части обоснования по увеличению объемов заготовки и вывозки древесины является полное соответствие их требованиям неистощимого и постоянного лесопользования, охраны окружающей среды. </w:t>
      </w:r>
      <w:r w:rsidRPr="009C2496">
        <w:rPr>
          <w:sz w:val="28"/>
          <w:szCs w:val="28"/>
        </w:rPr>
        <w:br/>
      </w:r>
      <w:r w:rsidRPr="009C2496">
        <w:rPr>
          <w:sz w:val="28"/>
          <w:szCs w:val="28"/>
        </w:rPr>
        <w:br/>
      </w:r>
      <w:r w:rsidRPr="009C2496">
        <w:rPr>
          <w:rStyle w:val="a4"/>
          <w:sz w:val="28"/>
          <w:szCs w:val="28"/>
        </w:rPr>
        <w:t>Основными направлениями ЛПК области является</w:t>
      </w:r>
    </w:p>
    <w:p w:rsidR="009C2496" w:rsidRPr="009C2496" w:rsidRDefault="009C2496" w:rsidP="009C24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Организация и заключение соглашений о социальном – экономическом партнерстве на уровне администрации области и муниципальных образований районов с предприятиями разных форм собственности с </w:t>
      </w:r>
      <w:r w:rsidRPr="009C2496">
        <w:rPr>
          <w:sz w:val="28"/>
          <w:szCs w:val="28"/>
        </w:rPr>
        <w:lastRenderedPageBreak/>
        <w:t xml:space="preserve">целью повышение доходности в бюджеты всех уровней и  прозрачности ведения бизнеса </w:t>
      </w:r>
    </w:p>
    <w:p w:rsidR="009C2496" w:rsidRPr="009C2496" w:rsidRDefault="009C2496" w:rsidP="009C24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Разработка программы «Развитие лесопромышленного комплекса Иркутской области до 2011 года». </w:t>
      </w:r>
    </w:p>
    <w:p w:rsidR="009C2496" w:rsidRPr="009C2496" w:rsidRDefault="009C2496" w:rsidP="009C24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Создание биржевых складов и    содействие в организации биржевой торговли лесоматериалами с целью упорядочения и сокращения экспорта </w:t>
      </w:r>
      <w:proofErr w:type="spellStart"/>
      <w:r w:rsidRPr="009C2496">
        <w:rPr>
          <w:sz w:val="28"/>
          <w:szCs w:val="28"/>
        </w:rPr>
        <w:t>лесопродукции</w:t>
      </w:r>
      <w:proofErr w:type="spellEnd"/>
      <w:r w:rsidRPr="009C2496">
        <w:rPr>
          <w:sz w:val="28"/>
          <w:szCs w:val="28"/>
        </w:rPr>
        <w:t xml:space="preserve">, в соответствии с действующим законодательством </w:t>
      </w:r>
    </w:p>
    <w:p w:rsidR="009C2496" w:rsidRPr="009C2496" w:rsidRDefault="009C2496" w:rsidP="009C24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 xml:space="preserve">Привлечение российского и иностранного капитала в создание  производственных мощностей по глубокой механической и лесохимической переработке древесины с целью вовлечения в переработку мелкотоварной, низкокачественной, </w:t>
      </w:r>
      <w:proofErr w:type="spellStart"/>
      <w:r w:rsidRPr="009C2496">
        <w:rPr>
          <w:sz w:val="28"/>
          <w:szCs w:val="28"/>
        </w:rPr>
        <w:t>мягколиственной</w:t>
      </w:r>
      <w:proofErr w:type="spellEnd"/>
      <w:r w:rsidRPr="009C2496">
        <w:rPr>
          <w:sz w:val="28"/>
          <w:szCs w:val="28"/>
        </w:rPr>
        <w:t xml:space="preserve"> древесины и получения высокорентабельной продукции. </w:t>
      </w:r>
    </w:p>
    <w:p w:rsidR="009C2496" w:rsidRDefault="009C2496" w:rsidP="009C249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C2496">
        <w:rPr>
          <w:sz w:val="28"/>
          <w:szCs w:val="28"/>
        </w:rPr>
        <w:t>Развитие малого и среднего бизнеса на базе мелких лесозаготовительных предприятий и предприяти</w:t>
      </w:r>
      <w:r w:rsidR="00CE4A4C">
        <w:rPr>
          <w:sz w:val="28"/>
          <w:szCs w:val="28"/>
        </w:rPr>
        <w:t>й,  перерабатывающих древесину.</w:t>
      </w:r>
    </w:p>
    <w:p w:rsidR="00CE4A4C" w:rsidRPr="00CE4A4C" w:rsidRDefault="00CE4A4C" w:rsidP="00CE4A4C">
      <w:pPr>
        <w:spacing w:before="100" w:beforeAutospacing="1" w:after="100" w:afterAutospacing="1"/>
        <w:ind w:left="720"/>
        <w:jc w:val="both"/>
        <w:rPr>
          <w:b/>
          <w:i/>
          <w:sz w:val="28"/>
          <w:szCs w:val="28"/>
        </w:rPr>
      </w:pPr>
      <w:r w:rsidRPr="00CE4A4C">
        <w:rPr>
          <w:b/>
          <w:i/>
          <w:sz w:val="28"/>
          <w:szCs w:val="28"/>
        </w:rPr>
        <w:t xml:space="preserve">Данные устаревшие, по ходу изучения материала будем </w:t>
      </w:r>
      <w:proofErr w:type="gramStart"/>
      <w:r w:rsidRPr="00CE4A4C">
        <w:rPr>
          <w:b/>
          <w:i/>
          <w:sz w:val="28"/>
          <w:szCs w:val="28"/>
        </w:rPr>
        <w:t>уточнять</w:t>
      </w:r>
      <w:proofErr w:type="gramEnd"/>
      <w:r w:rsidRPr="00CE4A4C">
        <w:rPr>
          <w:b/>
          <w:i/>
          <w:sz w:val="28"/>
          <w:szCs w:val="28"/>
        </w:rPr>
        <w:t xml:space="preserve"> и корректировать, сейчас важно усвоить какую и сколько продукции выпускается в области.</w:t>
      </w:r>
    </w:p>
    <w:p w:rsidR="00F40C48" w:rsidRDefault="003367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Лекция 6. 3</w:t>
      </w:r>
      <w:r w:rsidRPr="00336702">
        <w:rPr>
          <w:b/>
          <w:sz w:val="28"/>
          <w:szCs w:val="28"/>
        </w:rPr>
        <w:t xml:space="preserve"> неделя</w:t>
      </w:r>
      <w:r>
        <w:rPr>
          <w:b/>
          <w:sz w:val="28"/>
          <w:szCs w:val="28"/>
        </w:rPr>
        <w:t>.  Задание для самостоятельной работы</w:t>
      </w:r>
    </w:p>
    <w:p w:rsidR="00336702" w:rsidRDefault="00336702">
      <w:pPr>
        <w:rPr>
          <w:b/>
          <w:sz w:val="28"/>
          <w:szCs w:val="28"/>
        </w:rPr>
      </w:pPr>
    </w:p>
    <w:p w:rsidR="00336702" w:rsidRDefault="00336702">
      <w:pPr>
        <w:rPr>
          <w:sz w:val="28"/>
          <w:szCs w:val="28"/>
        </w:rPr>
      </w:pPr>
      <w:r w:rsidRPr="00336702">
        <w:rPr>
          <w:sz w:val="28"/>
          <w:szCs w:val="28"/>
        </w:rPr>
        <w:t>Про</w:t>
      </w:r>
      <w:r>
        <w:rPr>
          <w:sz w:val="28"/>
          <w:szCs w:val="28"/>
        </w:rPr>
        <w:t>читать книгу Леонида Леонова  «</w:t>
      </w:r>
      <w:r w:rsidRPr="00336702">
        <w:rPr>
          <w:b/>
          <w:sz w:val="28"/>
          <w:szCs w:val="28"/>
        </w:rPr>
        <w:t>Русский лес»,</w:t>
      </w:r>
      <w:r>
        <w:rPr>
          <w:sz w:val="28"/>
          <w:szCs w:val="28"/>
        </w:rPr>
        <w:t xml:space="preserve"> написать свой отзыв о прочитанном романе на 4-5 страницах.</w:t>
      </w:r>
    </w:p>
    <w:p w:rsidR="00CE4A4C" w:rsidRDefault="00CE4A4C">
      <w:pPr>
        <w:rPr>
          <w:sz w:val="28"/>
          <w:szCs w:val="28"/>
        </w:rPr>
      </w:pPr>
    </w:p>
    <w:p w:rsidR="00CE4A4C" w:rsidRPr="00CE4A4C" w:rsidRDefault="00CE4A4C" w:rsidP="00CE4A4C">
      <w:pPr>
        <w:jc w:val="both"/>
        <w:rPr>
          <w:b/>
          <w:i/>
          <w:sz w:val="28"/>
          <w:szCs w:val="28"/>
        </w:rPr>
      </w:pPr>
      <w:r w:rsidRPr="00CE4A4C">
        <w:rPr>
          <w:b/>
          <w:i/>
          <w:color w:val="333333"/>
          <w:sz w:val="28"/>
          <w:szCs w:val="28"/>
          <w:shd w:val="clear" w:color="auto" w:fill="FFFFFF"/>
        </w:rPr>
        <w:t>Студенты групп ТЛ-19П, ТЛ-20</w:t>
      </w:r>
      <w:r>
        <w:rPr>
          <w:b/>
          <w:i/>
          <w:color w:val="333333"/>
          <w:sz w:val="28"/>
          <w:szCs w:val="28"/>
          <w:shd w:val="clear" w:color="auto" w:fill="FFFFFF"/>
        </w:rPr>
        <w:t>.</w:t>
      </w:r>
      <w:r w:rsidRPr="00CE4A4C">
        <w:rPr>
          <w:b/>
          <w:i/>
          <w:color w:val="333333"/>
          <w:sz w:val="28"/>
          <w:szCs w:val="28"/>
          <w:shd w:val="clear" w:color="auto" w:fill="FFFFFF"/>
        </w:rPr>
        <w:t xml:space="preserve"> Конспектируют помещенные на ВСТАВКЕ</w:t>
      </w:r>
      <w:r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CE4A4C">
        <w:rPr>
          <w:b/>
          <w:i/>
          <w:color w:val="333333"/>
          <w:sz w:val="28"/>
          <w:szCs w:val="28"/>
          <w:shd w:val="clear" w:color="auto" w:fill="FFFFFF"/>
        </w:rPr>
        <w:t xml:space="preserve"> лекции и отправляют свои работы на почту преподавателю дисциплины Лесное хозяйство на почту </w:t>
      </w:r>
      <w:proofErr w:type="spellStart"/>
      <w:r w:rsidRPr="00CE4A4C">
        <w:rPr>
          <w:b/>
          <w:i/>
          <w:color w:val="333333"/>
          <w:sz w:val="28"/>
          <w:szCs w:val="28"/>
          <w:shd w:val="clear" w:color="auto" w:fill="FFFFFF"/>
        </w:rPr>
        <w:t>msolondaev@mail.ru</w:t>
      </w:r>
      <w:proofErr w:type="spellEnd"/>
      <w:r w:rsidRPr="00CE4A4C">
        <w:rPr>
          <w:b/>
          <w:i/>
          <w:color w:val="333333"/>
          <w:sz w:val="28"/>
          <w:szCs w:val="28"/>
          <w:shd w:val="clear" w:color="auto" w:fill="FFFFFF"/>
        </w:rPr>
        <w:t>, за работы будут выставляться оценки и составляться сводка успеваемости за неделю. Удачи</w:t>
      </w:r>
    </w:p>
    <w:p w:rsidR="00CE4A4C" w:rsidRPr="00336702" w:rsidRDefault="00CE4A4C"/>
    <w:sectPr w:rsidR="00CE4A4C" w:rsidRPr="00336702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49AA"/>
    <w:multiLevelType w:val="multilevel"/>
    <w:tmpl w:val="9B4E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56D7F"/>
    <w:multiLevelType w:val="multilevel"/>
    <w:tmpl w:val="E956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96"/>
    <w:rsid w:val="002B7909"/>
    <w:rsid w:val="00336702"/>
    <w:rsid w:val="00681B70"/>
    <w:rsid w:val="007079D4"/>
    <w:rsid w:val="009C2496"/>
    <w:rsid w:val="00CE4A4C"/>
    <w:rsid w:val="00DF7FD1"/>
    <w:rsid w:val="00E34DE5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C249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C2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C24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2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991</Words>
  <Characters>5655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2020-09-14T01:28:00Z</dcterms:created>
  <dcterms:modified xsi:type="dcterms:W3CDTF">2020-09-14T01:53:00Z</dcterms:modified>
</cp:coreProperties>
</file>