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F2" w:rsidRPr="001867F2" w:rsidRDefault="001867F2" w:rsidP="001867F2">
      <w:pPr>
        <w:shd w:val="clear" w:color="auto" w:fill="FFFFFF"/>
        <w:spacing w:after="120" w:line="408" w:lineRule="atLeas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Министерство науки и высшего образования Российской Федерации</w:t>
      </w: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Филиал </w:t>
      </w:r>
      <w:proofErr w:type="gramStart"/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ФЕДЕРАЛЬНОГО</w:t>
      </w:r>
      <w:proofErr w:type="gramEnd"/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 ГОСУДАРСТВЕННОГО БЮДЖЕТНОГО </w:t>
      </w: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ОБРАЗОВАТЕЛЬНОГО УЧРЕЖДЕНИЯ ВЫСШЕГО ОБРАЗОВАНИЯ</w:t>
      </w: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«Байкальский государственный университет» </w:t>
      </w: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в г. Усть-Илимске</w:t>
      </w:r>
    </w:p>
    <w:p w:rsidR="001867F2" w:rsidRPr="001867F2" w:rsidRDefault="001867F2" w:rsidP="001867F2">
      <w:pPr>
        <w:spacing w:before="3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(филиал ФГБОУ ВО «БГУ» в </w:t>
      </w:r>
      <w:proofErr w:type="gramStart"/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Усть-Илимске)</w:t>
      </w:r>
    </w:p>
    <w:p w:rsidR="004C2C4B" w:rsidRDefault="004C2C4B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Кафедра Уголовного и гражданского права</w:t>
      </w: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1867F2" w:rsidRPr="001867F2" w:rsidRDefault="001867F2" w:rsidP="0018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Специальность 40.02.01 Право и организация социального обеспечения</w:t>
      </w: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1A68F8" w:rsidRPr="001867F2" w:rsidRDefault="001A68F8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 xml:space="preserve">КОНТРОЛЬНАЯ работа </w:t>
      </w: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>по дисциплине: «ИНФОРМАТИКА»</w:t>
      </w:r>
      <w:r w:rsidR="004C2C4B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 xml:space="preserve"> </w:t>
      </w: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6"/>
          <w:szCs w:val="32"/>
          <w:lang w:eastAsia="zh-CN"/>
        </w:rPr>
      </w:pPr>
    </w:p>
    <w:p w:rsidR="001867F2" w:rsidRPr="001867F2" w:rsidRDefault="001867F2" w:rsidP="001867F2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1867F2" w:rsidRPr="001867F2" w:rsidRDefault="001867F2" w:rsidP="0018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7F2" w:rsidRPr="001867F2" w:rsidRDefault="001867F2" w:rsidP="0018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7F2" w:rsidRPr="001867F2" w:rsidRDefault="001867F2" w:rsidP="0018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7F2" w:rsidRPr="001867F2" w:rsidRDefault="001867F2" w:rsidP="0018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7F2" w:rsidRPr="001867F2" w:rsidRDefault="001867F2" w:rsidP="0018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7F2" w:rsidRPr="001867F2" w:rsidRDefault="001867F2" w:rsidP="0018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8F8" w:rsidRDefault="001867F2" w:rsidP="001867F2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1867F2" w:rsidRPr="001867F2" w:rsidRDefault="001A68F8" w:rsidP="001867F2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1867F2"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7F2"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А.Б. Коваль</w:t>
      </w:r>
    </w:p>
    <w:p w:rsidR="001867F2" w:rsidRPr="001867F2" w:rsidRDefault="001867F2" w:rsidP="0018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7F2" w:rsidRPr="001867F2" w:rsidRDefault="001867F2" w:rsidP="0018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Исполнитель  </w:t>
      </w: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79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Студент группы </w:t>
      </w:r>
      <w:r w:rsidRPr="00E174C6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ПСз-</w:t>
      </w:r>
      <w:r w:rsidR="00F92D58" w:rsidRPr="00E174C6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20</w:t>
      </w:r>
      <w:r w:rsidRPr="00E174C6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П</w:t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</w:t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174C6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А.А. Иванов</w:t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867F2" w:rsidRPr="001867F2" w:rsidRDefault="001867F2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867F2" w:rsidRPr="001867F2" w:rsidRDefault="00E174C6" w:rsidP="0018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Усть-Илимск 2021</w:t>
      </w:r>
    </w:p>
    <w:p w:rsidR="001867F2" w:rsidRPr="001867F2" w:rsidRDefault="001867F2" w:rsidP="001867F2">
      <w:pPr>
        <w:shd w:val="clear" w:color="auto" w:fill="FFFFFF"/>
        <w:spacing w:after="19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867F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ЗАДАНИЕ</w:t>
      </w:r>
    </w:p>
    <w:p w:rsidR="00264740" w:rsidRDefault="001867F2" w:rsidP="001A68F8">
      <w:pPr>
        <w:pStyle w:val="a7"/>
        <w:numPr>
          <w:ilvl w:val="0"/>
          <w:numId w:val="11"/>
        </w:numPr>
        <w:shd w:val="clear" w:color="auto" w:fill="FFFFFF"/>
        <w:tabs>
          <w:tab w:val="left" w:pos="993"/>
        </w:tabs>
        <w:spacing w:after="19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текст</w:t>
      </w:r>
      <w:r w:rsidR="00264740"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мет</w:t>
      </w: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одическими указаниями 2016 года (ВО)</w:t>
      </w:r>
      <w:r w:rsidR="00264740"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контрольную работу. </w:t>
      </w:r>
      <w:proofErr w:type="gramEnd"/>
    </w:p>
    <w:p w:rsidR="001867F2" w:rsidRDefault="001867F2" w:rsidP="001A68F8">
      <w:pPr>
        <w:pStyle w:val="a7"/>
        <w:numPr>
          <w:ilvl w:val="0"/>
          <w:numId w:val="11"/>
        </w:numPr>
        <w:shd w:val="clear" w:color="auto" w:fill="FFFFFF"/>
        <w:tabs>
          <w:tab w:val="left" w:pos="993"/>
        </w:tabs>
        <w:spacing w:after="19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автоматическое содержание.</w:t>
      </w:r>
    </w:p>
    <w:p w:rsidR="001867F2" w:rsidRPr="001867F2" w:rsidRDefault="001867F2" w:rsidP="001A68F8">
      <w:pPr>
        <w:pStyle w:val="a7"/>
        <w:numPr>
          <w:ilvl w:val="0"/>
          <w:numId w:val="11"/>
        </w:numPr>
        <w:shd w:val="clear" w:color="auto" w:fill="FFFFFF"/>
        <w:tabs>
          <w:tab w:val="left" w:pos="993"/>
        </w:tabs>
        <w:spacing w:after="19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список использованных источников.</w:t>
      </w:r>
    </w:p>
    <w:p w:rsidR="001A68F8" w:rsidRDefault="001A68F8">
      <w:pPr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br w:type="page"/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lastRenderedPageBreak/>
        <w:t>1. Что такое информатика </w:t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hAnsi="Arial" w:cs="Arial"/>
          <w:i/>
          <w:iCs/>
          <w:sz w:val="18"/>
          <w:szCs w:val="18"/>
          <w:shd w:val="clear" w:color="auto" w:fill="F9F9F9"/>
        </w:rPr>
        <w:t>Информатика — это фундаментальная естественная наука, изучающая процессы передачи и обработки информации.</w:t>
      </w:r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В широком смысле информатика (ср. со сходными по звучанию и происхождению нем. </w:t>
      </w:r>
      <w:proofErr w:type="spell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>Informatik</w:t>
      </w:r>
      <w:proofErr w:type="spell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 и фр. </w:t>
      </w:r>
      <w:proofErr w:type="spell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>Informatique</w:t>
      </w:r>
      <w:proofErr w:type="spell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, в противоположность традиционному англоязычному термину англ. </w:t>
      </w:r>
      <w:proofErr w:type="spell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>computer</w:t>
      </w:r>
      <w:proofErr w:type="spell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>science</w:t>
      </w:r>
      <w:proofErr w:type="spell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 — компьютерные науки — в США или англ. </w:t>
      </w:r>
      <w:proofErr w:type="spell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>computing</w:t>
      </w:r>
      <w:proofErr w:type="spell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>science</w:t>
      </w:r>
      <w:proofErr w:type="spell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 — вычислительная наука — в Британии) есть наука о вычислениях, хранении и обработке информации.</w:t>
      </w:r>
      <w:proofErr w:type="gram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 Она включает дисциплины, так или иначе относящиеся к вычислительным машинам: как абстрактные, вроде анализа алгоритмов, так и довольно конкретные, например, разработка языков программирования.</w:t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Информатика как наука развивается вместе с компьютерами, глобальной сетью Интернет — Информационными и Компьютерными технологиями.</w:t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В 1978 году международный конгресс официально закрепил за понятием «информатика» области, связанные с разработкой, созданием, использованием и материально-техническим обслуживанием систем обработки информации, включая компьютеры и их программное обеспечение, а также организационные, коммерческие, административные и социально-политические аспекты компьютеризации — массового внедрения компьютерной техники во все области жизни людей.</w:t>
      </w:r>
    </w:p>
    <w:p w:rsid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Таким образом, информатика базируется на компьютерной технике и немыслима без неё.</w:t>
      </w:r>
    </w:p>
    <w:p w:rsidR="00264740" w:rsidRPr="00264740" w:rsidRDefault="00264740" w:rsidP="00264740">
      <w:pPr>
        <w:shd w:val="clear" w:color="auto" w:fill="FFFFFF"/>
        <w:spacing w:after="19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Основные направления применения информатики:</w:t>
      </w:r>
    </w:p>
    <w:p w:rsidR="00264740" w:rsidRPr="00264740" w:rsidRDefault="00264740" w:rsidP="00264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разработка вычислительных систем и программного обеспечения;</w:t>
      </w:r>
    </w:p>
    <w:p w:rsidR="00264740" w:rsidRPr="00264740" w:rsidRDefault="00264740" w:rsidP="00264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теория информации, изучающая процессы, связанные с передачей, приёмом, преобразованием и хранением информации;</w:t>
      </w:r>
    </w:p>
    <w:p w:rsidR="00264740" w:rsidRPr="00264740" w:rsidRDefault="00264740" w:rsidP="00264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методы искусственного интеллекта, позволяющие создавать программы для решения задач, требующих определённых интеллектуальных усилий при выполнении их человеком (логический вывод, обучение, понимание речи и другие);</w:t>
      </w:r>
    </w:p>
    <w:p w:rsidR="00264740" w:rsidRPr="00264740" w:rsidRDefault="00264740" w:rsidP="00264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системный анализ, заключающийся в анализе назначения проектируемой системы и в установлении требований, которым они должны отвечать;</w:t>
      </w:r>
    </w:p>
    <w:p w:rsidR="00264740" w:rsidRPr="00264740" w:rsidRDefault="00264740" w:rsidP="00264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методы машинной графики, анимации, средств мультимедиа;</w:t>
      </w:r>
    </w:p>
    <w:p w:rsidR="00264740" w:rsidRPr="00264740" w:rsidRDefault="00264740" w:rsidP="00264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средства телекоммуникации, в том числе, глобальные коммуникационные сети, объединяющие всё человечество в единое информационное сообщество;</w:t>
      </w:r>
    </w:p>
    <w:p w:rsidR="00264740" w:rsidRPr="00264740" w:rsidRDefault="00264740" w:rsidP="00264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разнообразные приложения, охватывающие производство, науку, образование, медицину, торговлю, сельское хозяйство и все другие виды хозяйственной деятельности.</w:t>
      </w:r>
    </w:p>
    <w:p w:rsidR="00264740" w:rsidRPr="00264740" w:rsidRDefault="00264740" w:rsidP="00264740">
      <w:pPr>
        <w:shd w:val="clear" w:color="auto" w:fill="FFFFFF"/>
        <w:spacing w:after="19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Информатика состоит из двух частей:</w:t>
      </w:r>
    </w:p>
    <w:p w:rsidR="00264740" w:rsidRPr="00264740" w:rsidRDefault="00264740" w:rsidP="002647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технические средства;</w:t>
      </w:r>
    </w:p>
    <w:p w:rsidR="00264740" w:rsidRPr="00264740" w:rsidRDefault="00264740" w:rsidP="002647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программные средства.</w:t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Технические средства — это аппаратура компьютеров (</w:t>
      </w:r>
      <w:proofErr w:type="spell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>Hardware</w:t>
      </w:r>
      <w:proofErr w:type="spell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>).</w:t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Программные средства (</w:t>
      </w:r>
      <w:proofErr w:type="spell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>Software</w:t>
      </w:r>
      <w:proofErr w:type="spell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>), которые подчёркивают равнозначность программного обеспечения модифицироваться, приспосабливаться, развиваться.</w:t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В информатику входят ещё алгоритмические средства. Эта часть связана с разработкой алгоритмов и изучения методов и приёмов их построения.</w:t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Роль информатики в развитии общества чрезвычайно велика. С ней связано начало революции в области накопления, передачи и обработки информации. Рост производства компьютерной техники, развитие информационных сетей, создание новых информационных технологий приводят к значительным изменениям во всех сферах общества: в производстве, науке, образовании, медицине и так далее.</w:t>
      </w:r>
    </w:p>
    <w:p w:rsid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Важной частью информатики и ключом к глубокому пониманию является </w:t>
      </w:r>
      <w:r w:rsidRPr="00264740">
        <w:rPr>
          <w:rFonts w:ascii="Arial" w:eastAsia="Times New Roman" w:hAnsi="Arial" w:cs="Arial"/>
          <w:b/>
          <w:bCs/>
          <w:sz w:val="18"/>
          <w:lang w:eastAsia="ru-RU"/>
        </w:rPr>
        <w:t>алгоритмическое мышление</w:t>
      </w:r>
      <w:r w:rsidRPr="0026474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264740" w:rsidRPr="00264740" w:rsidRDefault="00264740" w:rsidP="00264740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2. </w:t>
      </w:r>
      <w:r w:rsidRPr="002647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Технические средства информатики</w:t>
      </w:r>
    </w:p>
    <w:p w:rsidR="00264740" w:rsidRPr="00264740" w:rsidRDefault="00264740" w:rsidP="00264740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647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2.1. Классификация </w:t>
      </w:r>
      <w:proofErr w:type="spellStart"/>
      <w:r w:rsidRPr="002647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эвм</w:t>
      </w:r>
      <w:proofErr w:type="spellEnd"/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Компьютеры могут быть </w:t>
      </w:r>
      <w:r w:rsidRPr="002647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классифицированы</w:t>
      </w: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ряду признаков, в частности: по принципу действия, назначению, способам организации вычислительного процесса, размерам и вычислительной мощности, функциональным возможностям, способности к параллельному выполнению программ и др.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назначению ЭВМ можно разделить на три группы:</w:t>
      </w:r>
    </w:p>
    <w:p w:rsidR="00264740" w:rsidRPr="00264740" w:rsidRDefault="00264740" w:rsidP="00264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универсальные (общего назначения) — предназначены для решения </w:t>
      </w:r>
      <w:proofErr w:type="gram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самых</w:t>
      </w:r>
      <w:proofErr w:type="gram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разных инженерно-технических задач: экономических, математических, информационных и других задач, отличающихся сложностью алгоритмов и большим объемом обрабатываемых данных. </w:t>
      </w:r>
      <w:proofErr w:type="gram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Характерными чертами этих ЭВМ являются высокая производительность, разнообразие форм обрабатываемых данных (двоичных, десятичных, символьных), разнообразие выполняемых операций (арифметических, логических, специальных), большая емкость оперативной памяти, развитая организация ввода-вывода информации;</w:t>
      </w:r>
      <w:proofErr w:type="gramEnd"/>
    </w:p>
    <w:p w:rsidR="00264740" w:rsidRPr="00264740" w:rsidRDefault="00264740" w:rsidP="00264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проблемно-ориентированные — предназначены для решения более узкого круга задач, связанных обычно с технологическими объектами, регистрацией, накоплением и обработкой небольших объемов данных (управляющие вычислительные комплексы);</w:t>
      </w:r>
    </w:p>
    <w:p w:rsidR="00264740" w:rsidRPr="00264740" w:rsidRDefault="00264740" w:rsidP="00264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специализированные — для решения узкого круга задач, чтобы снизить сложность и стоимость этих ЭВМ, сохраняя высокую производительность и надежность работы (программируемые микропроцессоры специального назначения, контроллеры, выполняющие функции управления техническими устройствами).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</w:t>
      </w:r>
      <w:r w:rsidRPr="00264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принципу действия</w:t>
      </w: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(критерием деления вычислительных машин является форма представления информации, с которой они работают):</w:t>
      </w:r>
    </w:p>
    <w:p w:rsidR="00264740" w:rsidRPr="00264740" w:rsidRDefault="00264740" w:rsidP="00264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аналоговые вычислительные машины (АВМ) — вычислительные машины непрерывного действия, работают с информацией, представленной в непрерывной форме, т.е. виде непрерывного ряда значений какой-либо физической величины (чаще всего электрического напряжения); в этом случае величина напряжения является аналогом значения некоторой измеряемой переменной.</w:t>
      </w:r>
      <w:proofErr w:type="gram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Например, ввод числа 19.42 при масштабе 0.1 эквивалентен подаче на вход напряжения в 1.942</w:t>
      </w:r>
      <w:proofErr w:type="gram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АВМ просты и удобны в эксплуатации; программирование задач для решения на них нетрудоемкое, скорость решения изменяется по желанию оператора (больше, чем у ЦВМ), но точность решения очень низкая (относительная погрешность 2-5 %). На АВМ решают математические задачи, содержащие дифференциальные уравнения, не содержащие сложной логики;</w:t>
      </w:r>
    </w:p>
    <w:p w:rsidR="00264740" w:rsidRPr="00264740" w:rsidRDefault="00264740" w:rsidP="00264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цифровые вычислительные машины (ЦВМ) — вычислительные машины дискретного действия, работают с информацией, представленной в дискретной, а точнее в цифровой, форме — в виде нескольких различных напряжений, эквивалентных числу единиц в представляемом значении переменной; ЦВМ получили наиболее широкое распространение, именно их подразумевают, когда говорят про ЭВМ;</w:t>
      </w:r>
    </w:p>
    <w:p w:rsidR="00264740" w:rsidRPr="00264740" w:rsidRDefault="00264740" w:rsidP="002647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гибридные вычислительные машины (ГВМ) — вычислительные машины комбинированного действия, работают с информацией, представленной и в цифровой, и в аналоговой форме; ГВМ целесообразно использовать для управления сложными быстродействующими техническими комплексами.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Классификация п</w:t>
      </w: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поколениям ЭВМ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представлена в таблице.</w:t>
      </w:r>
    </w:p>
    <w:tbl>
      <w:tblPr>
        <w:tblW w:w="9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48"/>
        <w:gridCol w:w="790"/>
        <w:gridCol w:w="2410"/>
        <w:gridCol w:w="2185"/>
        <w:gridCol w:w="1150"/>
        <w:gridCol w:w="2228"/>
      </w:tblGrid>
      <w:tr w:rsidR="00264740" w:rsidRPr="00264740" w:rsidTr="002647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Поколение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Быстродействие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264740" w:rsidRPr="00264740" w:rsidTr="002647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1940 -1955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электронные вакуумные лампы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десятки тысяч операций в </w:t>
            </w: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секунду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2 - 8 Кб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ENIAC (США), </w:t>
            </w:r>
            <w:proofErr w:type="spellStart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Mark</w:t>
            </w:r>
            <w:proofErr w:type="spellEnd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I </w:t>
            </w: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(Великобритания), МЭСМ (Киев)</w:t>
            </w:r>
          </w:p>
        </w:tc>
      </w:tr>
      <w:tr w:rsidR="00264740" w:rsidRPr="00264740" w:rsidTr="002647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1955 - 1964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транзисторы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сотни тысяч операций в секунду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Кб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NEC - 1101 (Япония), IBM - 709 (США), Минск, БЭСМ (СССР)</w:t>
            </w:r>
          </w:p>
        </w:tc>
      </w:tr>
      <w:tr w:rsidR="00264740" w:rsidRPr="00264740" w:rsidTr="002647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1964 – 1977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полупроводниковые интегральные схемы (сотни – тысячи транзисторов в одном корпусе)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сотни миллионов операций в секунду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десятков Мб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IBM </w:t>
            </w:r>
            <w:proofErr w:type="spellStart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System</w:t>
            </w:r>
            <w:proofErr w:type="spellEnd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360 (США), ЭВМ ЕС и СМ (СЭВ)</w:t>
            </w:r>
          </w:p>
        </w:tc>
      </w:tr>
      <w:tr w:rsidR="00264740" w:rsidRPr="00264740" w:rsidTr="002647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 – 1991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большие и сверхбольшие интегральные схем</w:t>
            </w:r>
            <w:proofErr w:type="gramStart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микропроцессоры (десятки тысяч- миллионы транзисторов в одном кристалле)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 миллиарда операций в секунду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десятки Гб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IBM PC AT/XT (США), </w:t>
            </w:r>
            <w:proofErr w:type="spellStart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Macintosh</w:t>
            </w:r>
            <w:proofErr w:type="spellEnd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Apple</w:t>
            </w:r>
            <w:proofErr w:type="spellEnd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США), ДВК “Искра” (СССР), MSX </w:t>
            </w:r>
            <w:proofErr w:type="spellStart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Yamaha</w:t>
            </w:r>
            <w:proofErr w:type="spellEnd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(Япония), </w:t>
            </w:r>
            <w:proofErr w:type="spellStart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Pentium</w:t>
            </w:r>
            <w:proofErr w:type="spellEnd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(США)</w:t>
            </w:r>
          </w:p>
        </w:tc>
      </w:tr>
      <w:tr w:rsidR="00264740" w:rsidRPr="00264740" w:rsidTr="002647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1991 – 1995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сверхсложные микропроцессоры с параллельно-векторной структурой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сотни миллиардов операций в секунду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ЭВМ со многими десятками параллельно работающих процессоров, позволяющих строить эффективные системы обработки знаний;</w:t>
            </w:r>
          </w:p>
        </w:tc>
      </w:tr>
      <w:tr w:rsidR="00264740" w:rsidRPr="00264740" w:rsidTr="002647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1995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сеть большого числа (десятки тысяч) микропроцессоров, моделирующих архитектуру нейронных биологических систем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Оптоэлектронные ЭВМ с массовым параллелизмом и нейронной структурой — с сетью из большого числа (десятки тысяч) несложных микропроцессоров, моделирующих структуру нейронных биологических систем.</w:t>
            </w:r>
          </w:p>
        </w:tc>
      </w:tr>
    </w:tbl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Классификация ЭВМ по размерам и функциональным возможностям:</w:t>
      </w:r>
    </w:p>
    <w:p w:rsidR="00264740" w:rsidRPr="00264740" w:rsidRDefault="00264740" w:rsidP="002647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Большие ЭВМ</w:t>
      </w:r>
    </w:p>
    <w:p w:rsid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Исторически первыми появились большие ЭВМ, элементная база которых прошла путь от электронных ламп до интегральных схем со сверх высокой степенью интеграции.</w:t>
      </w:r>
      <w:proofErr w:type="gram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Однако их производительность оказалась недостаточной для моделирования экологических систем, задач генной инженерии, управления сложными оборонными комплексами и др. Большие ЭВМ часто называют за рубежом MAINFRAME и слухи об их смерти сильно преувеличены.</w:t>
      </w:r>
    </w:p>
    <w:p w:rsid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 такой ЭВМ показан на рис. 1.</w:t>
      </w:r>
    </w:p>
    <w:p w:rsidR="00264740" w:rsidRDefault="00264740" w:rsidP="002647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31052" cy="3815366"/>
            <wp:effectExtent l="19050" t="0" r="2698" b="0"/>
            <wp:docPr id="7" name="Рисунок 7" descr="https://2.bp.blogspot.com/-3g0sIlsbl4c/WWybsMDMjyI/AAAAAAACA9Q/4WKgBryiIagQ7HD2gMqIWLFHv2rCWc2OQCLcBGAs/s1600/P1190195_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3g0sIlsbl4c/WWybsMDMjyI/AAAAAAACA9Q/4WKgBryiIagQ7HD2gMqIWLFHv2rCWc2OQCLcBGAs/s1600/P1190195_2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395" cy="381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740" w:rsidRPr="00264740" w:rsidRDefault="00264740" w:rsidP="001867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Рисунок 1 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правило, они имеют производительность не менее 10 MIPS (миллионов операций с плавающей точкой в секунду); основную память от 64 до 10000 МВ; внешнюю память не менее 50 ГВ; многопользовательский режим работы.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Основные направления использования — это решение научно-технических задач, работа с большими БД, управление вычислительными сетями и их ресурсами в качестве серверов. Примеры: семейство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mainframe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IBM ES/9000 (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Enterprise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System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включает более 18 моделей, реализованных на основе архитектуры IBM390.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Малые ЭВМ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Малые (мини) ЭВМ — надежные, недорогие и удобные в эксплуатации, обладают несколько более низкими, по сравнению с большими ЭВМ возможностями. </w:t>
      </w:r>
      <w:proofErr w:type="spellStart"/>
      <w:proofErr w:type="gram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Супер-мини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ЭВМ</w:t>
      </w:r>
      <w:proofErr w:type="gram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имеют емкость основной памяти — 4-512 МВ; ёмкость дисковой памяти — 2-100 ГВ; число поддерживаемых пользователей — 16-512.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Мини-ЭВМ ориентированы на использование в качестве управляющих вычислительных комплексов, в системах несложного моделирования, в АСУП, для управления технологическими процессами. Родоначальник современных мини-ЭВМ — PDP-11,(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programm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driven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processor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-программно-управляемый процессор) фирмы DEC (США).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26474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Супер</w:t>
      </w:r>
      <w:proofErr w:type="spellEnd"/>
      <w:r w:rsidRPr="0026474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ЭВМ</w:t>
      </w:r>
      <w:proofErr w:type="gramEnd"/>
    </w:p>
    <w:p w:rsid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мощные многопроцессорные ЭВМ с быстродействием сотни миллионов - десятки миллиардов операций в секунду. Достичь такую производительность на одном микропроцессоре по современным технологиям невозможно, в виду конечного значения скорости распространения электромагнитных волн (300000 км/сек), ибо время </w:t>
      </w: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распространения сигнала на расстояние в несколько миллиметров (размер стороны МП) становится соизмеримым </w:t>
      </w:r>
      <w:proofErr w:type="gram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временем выполнения одной операции. Поэтому суперЭВМ создают в виде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высокопараллельных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многопроцессорных вычислительных систем. </w:t>
      </w:r>
      <w:proofErr w:type="gram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в мире насчитывается несколько тысяч суперЭВМ, начиная от простеньких офисных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Cray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EL до мощных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Cray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3, SX-X фирмы NEC, VP2000 фирмы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Fujitsu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(Япония), VPP 500 фирмы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Siemens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(Германия).</w:t>
      </w:r>
      <w:proofErr w:type="gramEnd"/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09298" cy="3809816"/>
            <wp:effectExtent l="19050" t="0" r="5602" b="0"/>
            <wp:docPr id="10" name="Рисунок 10" descr="https://st.overclockers.ru/images/lab/2018/06/21/1/015_cray1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.overclockers.ru/images/lab/2018/06/21/1/015_cray16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323" cy="380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740" w:rsidRPr="00264740" w:rsidRDefault="00264740" w:rsidP="002647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Микро ЭВМ или персональный компьютер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 должен иметь характеристики, удовлетворяющие требованиям общедоступности и универсальности:</w:t>
      </w:r>
    </w:p>
    <w:p w:rsidR="00264740" w:rsidRPr="00264740" w:rsidRDefault="00264740" w:rsidP="0026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малую стоимость</w:t>
      </w:r>
    </w:p>
    <w:p w:rsidR="00264740" w:rsidRPr="00264740" w:rsidRDefault="00264740" w:rsidP="0026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автономность эксплуатации</w:t>
      </w:r>
    </w:p>
    <w:p w:rsidR="00264740" w:rsidRPr="00264740" w:rsidRDefault="00264740" w:rsidP="0026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гибкость архитектуры, дающую возможность адаптироваться в сфере образования, науки, управления, в быту;</w:t>
      </w:r>
    </w:p>
    <w:p w:rsidR="00264740" w:rsidRPr="00264740" w:rsidRDefault="00264740" w:rsidP="0026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дружественность операционной системы;</w:t>
      </w:r>
    </w:p>
    <w:p w:rsidR="00264740" w:rsidRPr="00264740" w:rsidRDefault="00264740" w:rsidP="0026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высокую надежность (более 5000 часов наработки на отказ);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конструктивным особенностям можно классифицировать ПК так:</w:t>
      </w:r>
    </w:p>
    <w:p w:rsidR="00264740" w:rsidRPr="00264740" w:rsidRDefault="00264740" w:rsidP="002647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Стационарные (настольные)</w:t>
      </w:r>
    </w:p>
    <w:p w:rsidR="00264740" w:rsidRPr="00E174C6" w:rsidRDefault="00264740" w:rsidP="00E174C6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Переносимые:</w:t>
      </w:r>
    </w:p>
    <w:p w:rsidR="00264740" w:rsidRPr="00264740" w:rsidRDefault="00264740" w:rsidP="0026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портативные</w:t>
      </w:r>
    </w:p>
    <w:p w:rsidR="00264740" w:rsidRPr="00264740" w:rsidRDefault="00264740" w:rsidP="0026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блокноты</w:t>
      </w:r>
    </w:p>
    <w:p w:rsidR="00264740" w:rsidRPr="00264740" w:rsidRDefault="00264740" w:rsidP="0026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карманные</w:t>
      </w:r>
    </w:p>
    <w:p w:rsidR="00264740" w:rsidRPr="00264740" w:rsidRDefault="00264740" w:rsidP="0026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секретари</w:t>
      </w:r>
    </w:p>
    <w:p w:rsidR="00264740" w:rsidRPr="00264740" w:rsidRDefault="00264740" w:rsidP="0026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записные книжки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Большинство из них имеют автономное питание от аккумуляторов, но могут подключаться к сети.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Специальные ЭВМ</w:t>
      </w:r>
    </w:p>
    <w:p w:rsid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Специальные ЭВМ</w:t>
      </w:r>
      <w:r w:rsidRPr="0026474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ориентированы на решение специальных вычислительных задач или задач управления. В качестве специальной ЭВМ можно рассматривать также электронные микрокалькуляторы. Программа, которую выполняет </w:t>
      </w:r>
      <w:proofErr w:type="gram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процессор</w:t>
      </w:r>
      <w:proofErr w:type="gram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находится в ПЗУ или в ОП. Т.к. машина решает, как правило, одну задачу, то меняются только данные. Это удобно (программу хранить в ПЗУ), в этом случае повышается надежность и быстродействие ЭВМ. Такой подход часто используется в бортовых ЭВМ; управлении режимом работы фотоаппарата, кинокамеры, в спортивных тренажерах.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D376AA" w:rsidRDefault="00D376AA"/>
    <w:sectPr w:rsidR="00D376AA" w:rsidSect="001A68F8"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8F8" w:rsidRDefault="001A68F8" w:rsidP="001A68F8">
      <w:pPr>
        <w:spacing w:after="0" w:line="240" w:lineRule="auto"/>
      </w:pPr>
      <w:r>
        <w:separator/>
      </w:r>
    </w:p>
  </w:endnote>
  <w:endnote w:type="continuationSeparator" w:id="0">
    <w:p w:rsidR="001A68F8" w:rsidRDefault="001A68F8" w:rsidP="001A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079"/>
      <w:docPartObj>
        <w:docPartGallery w:val="Page Numbers (Bottom of Page)"/>
        <w:docPartUnique/>
      </w:docPartObj>
    </w:sdtPr>
    <w:sdtContent>
      <w:p w:rsidR="001A68F8" w:rsidRDefault="00FC1FE6" w:rsidP="001A68F8">
        <w:pPr>
          <w:pStyle w:val="aa"/>
          <w:jc w:val="center"/>
        </w:pPr>
        <w:r w:rsidRPr="001A68F8">
          <w:rPr>
            <w:rFonts w:ascii="Times New Roman" w:hAnsi="Times New Roman" w:cs="Times New Roman"/>
            <w:sz w:val="24"/>
          </w:rPr>
          <w:fldChar w:fldCharType="begin"/>
        </w:r>
        <w:r w:rsidR="001A68F8" w:rsidRPr="001A68F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A68F8">
          <w:rPr>
            <w:rFonts w:ascii="Times New Roman" w:hAnsi="Times New Roman" w:cs="Times New Roman"/>
            <w:sz w:val="24"/>
          </w:rPr>
          <w:fldChar w:fldCharType="separate"/>
        </w:r>
        <w:r w:rsidR="004C2C4B">
          <w:rPr>
            <w:rFonts w:ascii="Times New Roman" w:hAnsi="Times New Roman" w:cs="Times New Roman"/>
            <w:noProof/>
            <w:sz w:val="24"/>
          </w:rPr>
          <w:t>2</w:t>
        </w:r>
        <w:r w:rsidRPr="001A68F8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8F8" w:rsidRDefault="001A68F8" w:rsidP="001A68F8">
      <w:pPr>
        <w:spacing w:after="0" w:line="240" w:lineRule="auto"/>
      </w:pPr>
      <w:r>
        <w:separator/>
      </w:r>
    </w:p>
  </w:footnote>
  <w:footnote w:type="continuationSeparator" w:id="0">
    <w:p w:rsidR="001A68F8" w:rsidRDefault="001A68F8" w:rsidP="001A6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299"/>
    <w:multiLevelType w:val="multilevel"/>
    <w:tmpl w:val="6DB2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E6469"/>
    <w:multiLevelType w:val="multilevel"/>
    <w:tmpl w:val="DD8C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B4946"/>
    <w:multiLevelType w:val="hybridMultilevel"/>
    <w:tmpl w:val="7CEAB27E"/>
    <w:lvl w:ilvl="0" w:tplc="06D0A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D0112"/>
    <w:multiLevelType w:val="multilevel"/>
    <w:tmpl w:val="6168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C66905"/>
    <w:multiLevelType w:val="multilevel"/>
    <w:tmpl w:val="6462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35C24"/>
    <w:multiLevelType w:val="multilevel"/>
    <w:tmpl w:val="5A8AE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C4C6E"/>
    <w:multiLevelType w:val="multilevel"/>
    <w:tmpl w:val="95D6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721E5"/>
    <w:multiLevelType w:val="multilevel"/>
    <w:tmpl w:val="24EC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F79BE"/>
    <w:multiLevelType w:val="multilevel"/>
    <w:tmpl w:val="92BC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04C65"/>
    <w:multiLevelType w:val="multilevel"/>
    <w:tmpl w:val="0268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1E17F2"/>
    <w:multiLevelType w:val="multilevel"/>
    <w:tmpl w:val="9A78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740"/>
    <w:rsid w:val="001867F2"/>
    <w:rsid w:val="001A68F8"/>
    <w:rsid w:val="00264740"/>
    <w:rsid w:val="00424882"/>
    <w:rsid w:val="004C2C4B"/>
    <w:rsid w:val="009E7289"/>
    <w:rsid w:val="00A255EC"/>
    <w:rsid w:val="00AC0E98"/>
    <w:rsid w:val="00D376AA"/>
    <w:rsid w:val="00E174C6"/>
    <w:rsid w:val="00F63DD0"/>
    <w:rsid w:val="00F92D58"/>
    <w:rsid w:val="00FC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AA"/>
  </w:style>
  <w:style w:type="paragraph" w:styleId="2">
    <w:name w:val="heading 2"/>
    <w:basedOn w:val="a"/>
    <w:link w:val="20"/>
    <w:uiPriority w:val="9"/>
    <w:qFormat/>
    <w:rsid w:val="00264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74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4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74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67F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A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68F8"/>
  </w:style>
  <w:style w:type="paragraph" w:styleId="aa">
    <w:name w:val="footer"/>
    <w:basedOn w:val="a"/>
    <w:link w:val="ab"/>
    <w:uiPriority w:val="99"/>
    <w:unhideWhenUsed/>
    <w:rsid w:val="001A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raspisanie</cp:lastModifiedBy>
  <cp:revision>4</cp:revision>
  <dcterms:created xsi:type="dcterms:W3CDTF">2019-12-13T05:09:00Z</dcterms:created>
  <dcterms:modified xsi:type="dcterms:W3CDTF">2021-02-25T03:33:00Z</dcterms:modified>
</cp:coreProperties>
</file>