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22" w:rsidRPr="00AD6E22" w:rsidRDefault="00AD6E22" w:rsidP="00AD6E22">
      <w:pPr>
        <w:rPr>
          <w:b/>
          <w:bCs/>
        </w:rPr>
      </w:pPr>
      <w:bookmarkStart w:id="0" w:name="_GoBack"/>
      <w:bookmarkEnd w:id="0"/>
      <w:r w:rsidRPr="00AD6E22">
        <w:rPr>
          <w:b/>
          <w:bCs/>
        </w:rPr>
        <w:t>9.3. НАНЕСЕНИЕ РАЗМЕРОВ</w:t>
      </w:r>
    </w:p>
    <w:p w:rsidR="00AD6E22" w:rsidRPr="00AD6E22" w:rsidRDefault="00AD6E22" w:rsidP="00AD6E22">
      <w:r w:rsidRPr="00AD6E22">
        <w:t>Простановка размеров является наиболее ответственной частью работы над чертежом, так как неправильно проставленные и лишние размеры приводят к браку, а недостаток размеров вызывает задержки производства. Ниже предложены некоторые рекомендации по нанесению размеров при выполнении чертежей деталей.</w:t>
      </w:r>
      <w:r w:rsidRPr="00AD6E22">
        <w:br/>
        <w:t xml:space="preserve">Размеры детали замеряют с помощью измерителя на чертеже общего вида сборочной единицы с учётом масштаба чертежа (с точностью 0,5мм). При замере наибольшего диаметра резьбы необходимо округлить его </w:t>
      </w:r>
      <w:proofErr w:type="gramStart"/>
      <w:r w:rsidRPr="00AD6E22">
        <w:t>до</w:t>
      </w:r>
      <w:proofErr w:type="gramEnd"/>
      <w:r w:rsidRPr="00AD6E22">
        <w:t xml:space="preserve"> ближайшего стандартного, взятого по справочнику. Например, если диаметр метрической резьбы по замеру d=5,5мм, то необходимо принять резьбу М</w:t>
      </w:r>
      <w:proofErr w:type="gramStart"/>
      <w:r w:rsidRPr="00AD6E22">
        <w:t>6</w:t>
      </w:r>
      <w:proofErr w:type="gramEnd"/>
      <w:r w:rsidRPr="00AD6E22">
        <w:t xml:space="preserve"> (ГОСТ 8878-75).</w:t>
      </w:r>
    </w:p>
    <w:p w:rsidR="00AD6E22" w:rsidRPr="00AD6E22" w:rsidRDefault="00AD6E22" w:rsidP="00AD6E22">
      <w:pPr>
        <w:rPr>
          <w:b/>
          <w:bCs/>
        </w:rPr>
      </w:pPr>
      <w:r w:rsidRPr="00AD6E22">
        <w:rPr>
          <w:b/>
          <w:bCs/>
        </w:rPr>
        <w:t>9.3.1. Классификация размеров</w:t>
      </w:r>
    </w:p>
    <w:p w:rsidR="00AD6E22" w:rsidRPr="00AD6E22" w:rsidRDefault="00AD6E22" w:rsidP="00AD6E22">
      <w:r w:rsidRPr="00AD6E22">
        <w:t>Все размеры разделяются на две группы: основные (сопряжённые) и свободные.</w:t>
      </w:r>
      <w:r w:rsidRPr="00AD6E22">
        <w:br/>
      </w:r>
      <w:r w:rsidRPr="00AD6E22">
        <w:rPr>
          <w:b/>
          <w:bCs/>
          <w:i/>
          <w:iCs/>
        </w:rPr>
        <w:t>Основные размеры</w:t>
      </w:r>
      <w:r w:rsidRPr="00AD6E22">
        <w:t> входят в размерные цепи и определяют относительное положение детали в узле, они должны обеспечивать:</w:t>
      </w:r>
    </w:p>
    <w:p w:rsidR="00AD6E22" w:rsidRPr="00AD6E22" w:rsidRDefault="00AD6E22" w:rsidP="00AD6E22">
      <w:pPr>
        <w:numPr>
          <w:ilvl w:val="0"/>
          <w:numId w:val="1"/>
        </w:numPr>
      </w:pPr>
      <w:r w:rsidRPr="00AD6E22">
        <w:t>расположение детали в узле;</w:t>
      </w:r>
    </w:p>
    <w:p w:rsidR="00AD6E22" w:rsidRPr="00AD6E22" w:rsidRDefault="00AD6E22" w:rsidP="00AD6E22">
      <w:pPr>
        <w:numPr>
          <w:ilvl w:val="0"/>
          <w:numId w:val="1"/>
        </w:numPr>
      </w:pPr>
      <w:r w:rsidRPr="00AD6E22">
        <w:t>точность взаимодействия собранных деталей;</w:t>
      </w:r>
    </w:p>
    <w:p w:rsidR="00AD6E22" w:rsidRPr="00AD6E22" w:rsidRDefault="00AD6E22" w:rsidP="00AD6E22">
      <w:pPr>
        <w:numPr>
          <w:ilvl w:val="0"/>
          <w:numId w:val="1"/>
        </w:numPr>
      </w:pPr>
      <w:r w:rsidRPr="00AD6E22">
        <w:t>сборку и разборку изделия;</w:t>
      </w:r>
    </w:p>
    <w:p w:rsidR="00AD6E22" w:rsidRPr="00AD6E22" w:rsidRDefault="00AD6E22" w:rsidP="00AD6E22">
      <w:pPr>
        <w:numPr>
          <w:ilvl w:val="0"/>
          <w:numId w:val="1"/>
        </w:numPr>
      </w:pPr>
      <w:r w:rsidRPr="00AD6E22">
        <w:t>взаимозаменяемость деталей.</w:t>
      </w:r>
    </w:p>
    <w:p w:rsidR="00AD6E22" w:rsidRPr="00AD6E22" w:rsidRDefault="00AD6E22" w:rsidP="00AD6E22">
      <w:r w:rsidRPr="00AD6E22">
        <w:t>Примером могут служить размеры охватывающих и охватываемых элементов сопряжённых деталей (Рисунок 9.2). Общие соприкасающиеся поверхности двух деталей имеют одинаковый номинальный размер.</w:t>
      </w:r>
      <w:r w:rsidRPr="00AD6E22">
        <w:br/>
      </w:r>
      <w:r w:rsidRPr="00AD6E22">
        <w:rPr>
          <w:b/>
          <w:bCs/>
          <w:i/>
          <w:iCs/>
        </w:rPr>
        <w:t>Свободные размеры</w:t>
      </w:r>
      <w:r w:rsidRPr="00AD6E22">
        <w:t> в размерные цепи детали не входят. Эти размеры определяют такие поверхности детали, которые не соединяются с поверхностями других деталей, и поэтому их выполняют с меньшей точностью (Рисунок 9.2).</w:t>
      </w:r>
      <w:r w:rsidRPr="00AD6E22">
        <w:br/>
      </w:r>
      <w:r w:rsidRPr="00AD6E22">
        <w:drawing>
          <wp:inline distT="0" distB="0" distL="0" distR="0">
            <wp:extent cx="5715000" cy="2133600"/>
            <wp:effectExtent l="0" t="0" r="0" b="0"/>
            <wp:docPr id="8" name="Рисунок 8" descr="Свободные раз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бодные разме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22">
        <w:br/>
      </w:r>
      <w:r w:rsidRPr="00AD6E22">
        <w:rPr>
          <w:i/>
          <w:iCs/>
        </w:rPr>
        <w:t>А</w:t>
      </w:r>
      <w:r w:rsidRPr="00AD6E22">
        <w:t> – охватывающая поверхность; </w:t>
      </w:r>
      <w:r w:rsidRPr="00AD6E22">
        <w:rPr>
          <w:i/>
          <w:iCs/>
        </w:rPr>
        <w:t>Б</w:t>
      </w:r>
      <w:r w:rsidRPr="00AD6E22">
        <w:t> – охватываемая поверхность;</w:t>
      </w:r>
      <w:r w:rsidRPr="00AD6E22">
        <w:br/>
      </w:r>
      <w:proofErr w:type="gramStart"/>
      <w:r w:rsidRPr="00AD6E22">
        <w:rPr>
          <w:i/>
          <w:iCs/>
        </w:rPr>
        <w:t>В</w:t>
      </w:r>
      <w:proofErr w:type="gramEnd"/>
      <w:r w:rsidRPr="00AD6E22">
        <w:rPr>
          <w:i/>
          <w:iCs/>
        </w:rPr>
        <w:t> </w:t>
      </w:r>
      <w:r w:rsidRPr="00AD6E22">
        <w:t xml:space="preserve">— </w:t>
      </w:r>
      <w:proofErr w:type="gramStart"/>
      <w:r w:rsidRPr="00AD6E22">
        <w:t>свободная</w:t>
      </w:r>
      <w:proofErr w:type="gramEnd"/>
      <w:r w:rsidRPr="00AD6E22">
        <w:t xml:space="preserve"> поверхность; </w:t>
      </w:r>
      <w:r w:rsidRPr="00AD6E22">
        <w:rPr>
          <w:i/>
          <w:iCs/>
        </w:rPr>
        <w:t>d</w:t>
      </w:r>
      <w:r w:rsidRPr="00AD6E22">
        <w:t> – номинальный размер</w:t>
      </w:r>
      <w:r w:rsidRPr="00AD6E22">
        <w:br/>
        <w:t>Рисунок 9.2</w:t>
      </w:r>
    </w:p>
    <w:p w:rsidR="00AD6E22" w:rsidRPr="00AD6E22" w:rsidRDefault="00AD6E22" w:rsidP="00AD6E22">
      <w:pPr>
        <w:rPr>
          <w:b/>
          <w:bCs/>
        </w:rPr>
      </w:pPr>
      <w:r w:rsidRPr="00AD6E22">
        <w:rPr>
          <w:b/>
          <w:bCs/>
        </w:rPr>
        <w:t>9.3.2. Методы простановки размеров</w:t>
      </w:r>
    </w:p>
    <w:p w:rsidR="00AD6E22" w:rsidRPr="00AD6E22" w:rsidRDefault="00AD6E22" w:rsidP="00AD6E22">
      <w:r w:rsidRPr="00AD6E22">
        <w:t>Применяются следующие методы простановки размеров:</w:t>
      </w:r>
    </w:p>
    <w:p w:rsidR="00AD6E22" w:rsidRPr="00AD6E22" w:rsidRDefault="00AD6E22" w:rsidP="00AD6E22">
      <w:pPr>
        <w:numPr>
          <w:ilvl w:val="0"/>
          <w:numId w:val="2"/>
        </w:numPr>
      </w:pPr>
      <w:r w:rsidRPr="00AD6E22">
        <w:lastRenderedPageBreak/>
        <w:t>цепной;</w:t>
      </w:r>
    </w:p>
    <w:p w:rsidR="00AD6E22" w:rsidRPr="00AD6E22" w:rsidRDefault="00AD6E22" w:rsidP="00AD6E22">
      <w:pPr>
        <w:numPr>
          <w:ilvl w:val="0"/>
          <w:numId w:val="2"/>
        </w:numPr>
      </w:pPr>
      <w:r w:rsidRPr="00AD6E22">
        <w:t>координатный;</w:t>
      </w:r>
    </w:p>
    <w:p w:rsidR="00AD6E22" w:rsidRPr="00AD6E22" w:rsidRDefault="00AD6E22" w:rsidP="00AD6E22">
      <w:pPr>
        <w:numPr>
          <w:ilvl w:val="0"/>
          <w:numId w:val="2"/>
        </w:numPr>
      </w:pPr>
      <w:r w:rsidRPr="00AD6E22">
        <w:t>комбинированный.</w:t>
      </w:r>
    </w:p>
    <w:p w:rsidR="00AD6E22" w:rsidRPr="00AD6E22" w:rsidRDefault="00AD6E22" w:rsidP="00AD6E22">
      <w:r w:rsidRPr="00AD6E22">
        <w:t>При </w:t>
      </w:r>
      <w:r w:rsidRPr="00AD6E22">
        <w:rPr>
          <w:b/>
          <w:bCs/>
          <w:i/>
          <w:iCs/>
        </w:rPr>
        <w:t>цепном</w:t>
      </w:r>
      <w:r w:rsidRPr="00AD6E22">
        <w:t> методе (Рисунок 9.3) размеры проставляются последовательно один за другим. При такой простановке размеров каждая ступень валика обрабатывается самостоятельно, и технологическая база имеет своё положение. При этом на точность выполнения размера каждого элемента детали не влияют ошибки выполнения предыдущих размеров. Однако</w:t>
      </w:r>
      <w:proofErr w:type="gramStart"/>
      <w:r w:rsidRPr="00AD6E22">
        <w:t>,</w:t>
      </w:r>
      <w:proofErr w:type="gramEnd"/>
      <w:r w:rsidRPr="00AD6E22">
        <w:t xml:space="preserve"> ошибка суммарного размера состоит из суммы ошибок всех размеров. Нанесение размеров в виде замкнутой цепи не допускается, за исключением случаев, когда один из размеров цепи указан как справочный. Справочные размеры на чертеже отмечаются знаком * и записываются на поле: </w:t>
      </w:r>
      <w:r w:rsidRPr="00AD6E22">
        <w:rPr>
          <w:b/>
          <w:bCs/>
        </w:rPr>
        <w:t>«* Размеры для справок</w:t>
      </w:r>
      <w:r w:rsidRPr="00AD6E22">
        <w:t>» (Рисунок 9.4).</w:t>
      </w:r>
      <w:r w:rsidRPr="00AD6E22">
        <w:br/>
      </w:r>
      <w:r w:rsidRPr="00AD6E22">
        <w:drawing>
          <wp:inline distT="0" distB="0" distL="0" distR="0">
            <wp:extent cx="4067175" cy="2457450"/>
            <wp:effectExtent l="0" t="0" r="9525" b="0"/>
            <wp:docPr id="7" name="Рисунок 7" descr="Цепной метод простановки разм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пной метод простановки разме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22">
        <w:br/>
        <w:t>Рисунок 9.3</w:t>
      </w:r>
      <w:r w:rsidRPr="00AD6E22">
        <w:br/>
      </w:r>
      <w:r w:rsidRPr="00AD6E22">
        <w:drawing>
          <wp:inline distT="0" distB="0" distL="0" distR="0">
            <wp:extent cx="4743450" cy="3257550"/>
            <wp:effectExtent l="0" t="0" r="0" b="0"/>
            <wp:docPr id="6" name="Рисунок 6" descr="Справочн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очный разм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22">
        <w:br/>
        <w:t>Рисунок 9.4</w:t>
      </w:r>
      <w:proofErr w:type="gramStart"/>
      <w:r w:rsidRPr="00AD6E22">
        <w:br/>
        <w:t>П</w:t>
      </w:r>
      <w:proofErr w:type="gramEnd"/>
      <w:r w:rsidRPr="00AD6E22">
        <w:t>ри </w:t>
      </w:r>
      <w:r w:rsidRPr="00AD6E22">
        <w:rPr>
          <w:b/>
          <w:bCs/>
        </w:rPr>
        <w:t>координатном</w:t>
      </w:r>
      <w:r w:rsidRPr="00AD6E22">
        <w:t> методе размеры проставляются от выбранных баз (Рисунок  9.5). При этом методе нет суммирования размеров и ошибок в расположении любого элемента относительно одной базы, что является его преимуществом.</w:t>
      </w:r>
      <w:r w:rsidRPr="00AD6E22">
        <w:br/>
      </w:r>
      <w:r w:rsidRPr="00AD6E22">
        <w:drawing>
          <wp:inline distT="0" distB="0" distL="0" distR="0">
            <wp:extent cx="3133725" cy="3343275"/>
            <wp:effectExtent l="0" t="0" r="9525" b="9525"/>
            <wp:docPr id="5" name="Рисунок 5" descr="Координатный метод простановки разм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ординатный метод простановки разме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22">
        <w:br/>
        <w:t>Рисунок 9.5</w:t>
      </w:r>
    </w:p>
    <w:p w:rsidR="00AD6E22" w:rsidRPr="00AD6E22" w:rsidRDefault="00AD6E22" w:rsidP="00AD6E22">
      <w:r w:rsidRPr="00AD6E22">
        <w:rPr>
          <w:b/>
          <w:bCs/>
        </w:rPr>
        <w:t>Комбинированный</w:t>
      </w:r>
      <w:r w:rsidRPr="00AD6E22">
        <w:t> метод простановки размеров представляет собой сочетание цепного и координатного методов (Рисунок 9.6). Он применяется, когда необходима высокая точность при изготовлении отдельных элементов детали.</w:t>
      </w:r>
    </w:p>
    <w:p w:rsidR="00AD6E22" w:rsidRPr="00AD6E22" w:rsidRDefault="00AD6E22" w:rsidP="00AD6E22">
      <w:r w:rsidRPr="00AD6E22">
        <w:drawing>
          <wp:inline distT="0" distB="0" distL="0" distR="0">
            <wp:extent cx="3286125" cy="2924175"/>
            <wp:effectExtent l="0" t="0" r="9525" b="9525"/>
            <wp:docPr id="4" name="Рисунок 4" descr="Комбинированный метод простановки разм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бинированный метод простановки размер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22">
        <w:br/>
        <w:t>Рисунок 9.6</w:t>
      </w:r>
    </w:p>
    <w:p w:rsidR="00AD6E22" w:rsidRPr="00AD6E22" w:rsidRDefault="00AD6E22" w:rsidP="00AD6E22">
      <w:r w:rsidRPr="00AD6E22">
        <w:t xml:space="preserve">По своему назначению размеры подразделяются </w:t>
      </w:r>
      <w:proofErr w:type="gramStart"/>
      <w:r w:rsidRPr="00AD6E22">
        <w:t>на</w:t>
      </w:r>
      <w:proofErr w:type="gramEnd"/>
      <w:r w:rsidRPr="00AD6E22">
        <w:t xml:space="preserve"> габаритные, присоединительные, установочные и конструктивные.</w:t>
      </w:r>
    </w:p>
    <w:p w:rsidR="00AD6E22" w:rsidRPr="00AD6E22" w:rsidRDefault="00AD6E22" w:rsidP="00AD6E22">
      <w:r w:rsidRPr="00AD6E22">
        <w:rPr>
          <w:b/>
          <w:bCs/>
        </w:rPr>
        <w:t>Габаритные</w:t>
      </w:r>
      <w:r w:rsidRPr="00AD6E22">
        <w:t> размеры определяют предельные внешние (или внутренние) очертания изделия. Они не всегда наносятся, но их часто указывают для справок, особенно для крупных литейных деталей. Габаритный размер не наносится на болтах и шпильках.</w:t>
      </w:r>
    </w:p>
    <w:p w:rsidR="00AD6E22" w:rsidRPr="00AD6E22" w:rsidRDefault="00AD6E22" w:rsidP="00AD6E22">
      <w:r w:rsidRPr="00AD6E22">
        <w:rPr>
          <w:b/>
          <w:bCs/>
        </w:rPr>
        <w:t>Присоединительные</w:t>
      </w:r>
      <w:r w:rsidRPr="00AD6E22">
        <w:t> и </w:t>
      </w:r>
      <w:r w:rsidRPr="00AD6E22">
        <w:rPr>
          <w:b/>
          <w:bCs/>
        </w:rPr>
        <w:t>установочные</w:t>
      </w:r>
      <w:r w:rsidRPr="00AD6E22">
        <w:t xml:space="preserve"> размеры определяют величины элементов, по которым данное изделие устанавливают на место монтажа или присоединяют к </w:t>
      </w:r>
      <w:proofErr w:type="gramStart"/>
      <w:r w:rsidRPr="00AD6E22">
        <w:t>другому</w:t>
      </w:r>
      <w:proofErr w:type="gramEnd"/>
      <w:r w:rsidRPr="00AD6E22">
        <w:t>. К таким размерам относятся: высота центра подшипника от плоскости основания; расстояние между центрами отверстий; диаметр окружности центров (Рисунок 9.7).</w:t>
      </w:r>
    </w:p>
    <w:p w:rsidR="00AD6E22" w:rsidRPr="00AD6E22" w:rsidRDefault="00AD6E22" w:rsidP="00AD6E22">
      <w:r w:rsidRPr="00AD6E22">
        <w:t>Группа размеров, определяющих геометрию отдельных элементов детали предназначенных для выполнения какой-либо функции, и группа размеров на элементы детали, такие как фаски, проточки (наличие которых вызвано технологией обработки или сборки), выполняются с различной точностью, поэтому их размеры не включают в одну размерную цепь (Рисунок 9.8, а, б).</w:t>
      </w:r>
    </w:p>
    <w:p w:rsidR="00AD6E22" w:rsidRPr="00AD6E22" w:rsidRDefault="00AD6E22" w:rsidP="00AD6E22">
      <w:r w:rsidRPr="00AD6E22">
        <w:drawing>
          <wp:inline distT="0" distB="0" distL="0" distR="0">
            <wp:extent cx="2943225" cy="2743200"/>
            <wp:effectExtent l="0" t="0" r="9525" b="0"/>
            <wp:docPr id="3" name="Рисунок 3" descr="Присоединительные и установочные раз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соединительные и установочные размер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22">
        <w:br/>
        <w:t>Рисунок 9.7</w:t>
      </w:r>
    </w:p>
    <w:tbl>
      <w:tblPr>
        <w:tblW w:w="14880" w:type="dxa"/>
        <w:tblBorders>
          <w:top w:val="single" w:sz="6" w:space="0" w:color="2F7CD9"/>
          <w:left w:val="single" w:sz="6" w:space="0" w:color="2F7CD9"/>
          <w:bottom w:val="single" w:sz="6" w:space="0" w:color="2F7CD9"/>
          <w:right w:val="single" w:sz="6" w:space="0" w:color="2F7C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6"/>
        <w:gridCol w:w="7234"/>
      </w:tblGrid>
      <w:tr w:rsidR="00AD6E22" w:rsidRPr="00AD6E22" w:rsidTr="00AD6E22">
        <w:tc>
          <w:tcPr>
            <w:tcW w:w="4875" w:type="dxa"/>
            <w:gridSpan w:val="2"/>
            <w:tcBorders>
              <w:top w:val="single" w:sz="6" w:space="0" w:color="2F7CD9"/>
              <w:left w:val="single" w:sz="6" w:space="0" w:color="2F7CD9"/>
              <w:bottom w:val="single" w:sz="6" w:space="0" w:color="2F7CD9"/>
              <w:right w:val="single" w:sz="6" w:space="0" w:color="2F7CD9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D6E22" w:rsidRPr="00AD6E22" w:rsidRDefault="00AD6E22" w:rsidP="00AD6E22">
            <w:r w:rsidRPr="00AD6E22">
              <w:drawing>
                <wp:inline distT="0" distB="0" distL="0" distR="0">
                  <wp:extent cx="3095625" cy="1933575"/>
                  <wp:effectExtent l="0" t="0" r="9525" b="9525"/>
                  <wp:docPr id="2" name="Рисунок 2" descr="Координаты прот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ординаты прот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E22" w:rsidRPr="00AD6E22" w:rsidTr="00AD6E22">
        <w:tc>
          <w:tcPr>
            <w:tcW w:w="2595" w:type="dxa"/>
            <w:tcBorders>
              <w:top w:val="single" w:sz="6" w:space="0" w:color="2F7CD9"/>
              <w:left w:val="single" w:sz="6" w:space="0" w:color="2F7CD9"/>
              <w:bottom w:val="single" w:sz="6" w:space="0" w:color="2F7CD9"/>
              <w:right w:val="single" w:sz="6" w:space="0" w:color="2F7CD9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D6E22" w:rsidRPr="00AD6E22" w:rsidRDefault="00AD6E22" w:rsidP="00AD6E22">
            <w:r w:rsidRPr="00AD6E22">
              <w:t>Неправильно</w:t>
            </w:r>
          </w:p>
        </w:tc>
        <w:tc>
          <w:tcPr>
            <w:tcW w:w="2580" w:type="dxa"/>
            <w:tcBorders>
              <w:top w:val="single" w:sz="6" w:space="0" w:color="2F7CD9"/>
              <w:left w:val="single" w:sz="6" w:space="0" w:color="2F7CD9"/>
              <w:bottom w:val="single" w:sz="6" w:space="0" w:color="2F7CD9"/>
              <w:right w:val="single" w:sz="6" w:space="0" w:color="2F7CD9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D6E22" w:rsidRPr="00AD6E22" w:rsidRDefault="00AD6E22" w:rsidP="00AD6E22">
            <w:r w:rsidRPr="00AD6E22">
              <w:t>Правильно</w:t>
            </w:r>
          </w:p>
        </w:tc>
      </w:tr>
    </w:tbl>
    <w:p w:rsidR="00AD6E22" w:rsidRPr="00AD6E22" w:rsidRDefault="00AD6E22" w:rsidP="00AD6E22">
      <w:r w:rsidRPr="00AD6E22">
        <w:t> </w:t>
      </w:r>
      <w:r w:rsidRPr="00AD6E22">
        <w:br/>
        <w:t>Рисунок 9.8, а</w:t>
      </w:r>
    </w:p>
    <w:tbl>
      <w:tblPr>
        <w:tblW w:w="14880" w:type="dxa"/>
        <w:tblBorders>
          <w:top w:val="single" w:sz="6" w:space="0" w:color="2F7CD9"/>
          <w:left w:val="single" w:sz="6" w:space="0" w:color="2F7CD9"/>
          <w:bottom w:val="single" w:sz="6" w:space="0" w:color="2F7CD9"/>
          <w:right w:val="single" w:sz="6" w:space="0" w:color="2F7C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3"/>
        <w:gridCol w:w="7307"/>
      </w:tblGrid>
      <w:tr w:rsidR="00AD6E22" w:rsidRPr="00AD6E22" w:rsidTr="00AD6E22">
        <w:tc>
          <w:tcPr>
            <w:tcW w:w="9000" w:type="dxa"/>
            <w:gridSpan w:val="2"/>
            <w:tcBorders>
              <w:top w:val="single" w:sz="6" w:space="0" w:color="2F7CD9"/>
              <w:left w:val="single" w:sz="6" w:space="0" w:color="2F7CD9"/>
              <w:bottom w:val="single" w:sz="6" w:space="0" w:color="2F7CD9"/>
              <w:right w:val="single" w:sz="6" w:space="0" w:color="2F7CD9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D6E22" w:rsidRPr="00AD6E22" w:rsidRDefault="00AD6E22" w:rsidP="00AD6E22">
            <w:r w:rsidRPr="00AD6E22">
              <w:drawing>
                <wp:inline distT="0" distB="0" distL="0" distR="0">
                  <wp:extent cx="6276975" cy="3019425"/>
                  <wp:effectExtent l="0" t="0" r="9525" b="9525"/>
                  <wp:docPr id="1" name="Рисунок 1" descr="Координаты прот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оординаты прот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97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E22" w:rsidRPr="00AD6E22" w:rsidTr="00AD6E22">
        <w:tc>
          <w:tcPr>
            <w:tcW w:w="4500" w:type="dxa"/>
            <w:tcBorders>
              <w:top w:val="single" w:sz="6" w:space="0" w:color="2F7CD9"/>
              <w:left w:val="single" w:sz="6" w:space="0" w:color="2F7CD9"/>
              <w:bottom w:val="single" w:sz="6" w:space="0" w:color="2F7CD9"/>
              <w:right w:val="single" w:sz="6" w:space="0" w:color="2F7CD9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D6E22" w:rsidRPr="00AD6E22" w:rsidRDefault="00AD6E22" w:rsidP="00AD6E22">
            <w:r w:rsidRPr="00AD6E22">
              <w:t>Неправильно</w:t>
            </w:r>
          </w:p>
        </w:tc>
        <w:tc>
          <w:tcPr>
            <w:tcW w:w="4500" w:type="dxa"/>
            <w:tcBorders>
              <w:top w:val="single" w:sz="6" w:space="0" w:color="2F7CD9"/>
              <w:left w:val="single" w:sz="6" w:space="0" w:color="2F7CD9"/>
              <w:bottom w:val="single" w:sz="6" w:space="0" w:color="2F7CD9"/>
              <w:right w:val="single" w:sz="6" w:space="0" w:color="2F7CD9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D6E22" w:rsidRPr="00AD6E22" w:rsidRDefault="00AD6E22" w:rsidP="00AD6E22">
            <w:r w:rsidRPr="00AD6E22">
              <w:t>Правильно</w:t>
            </w:r>
          </w:p>
        </w:tc>
      </w:tr>
    </w:tbl>
    <w:p w:rsidR="00AD6E22" w:rsidRPr="00AD6E22" w:rsidRDefault="00AD6E22" w:rsidP="00AD6E22">
      <w:r w:rsidRPr="00AD6E22">
        <w:t> </w:t>
      </w:r>
      <w:r w:rsidRPr="00AD6E22">
        <w:br/>
        <w:t>Рисунок 9.8, б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40EB"/>
    <w:multiLevelType w:val="multilevel"/>
    <w:tmpl w:val="822A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277A9A"/>
    <w:multiLevelType w:val="multilevel"/>
    <w:tmpl w:val="8E34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E0"/>
    <w:rsid w:val="004A5DA9"/>
    <w:rsid w:val="00AD6E22"/>
    <w:rsid w:val="00B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2020-11-25T04:21:00Z</dcterms:created>
  <dcterms:modified xsi:type="dcterms:W3CDTF">2020-11-25T04:21:00Z</dcterms:modified>
</cp:coreProperties>
</file>