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A8" w:rsidRPr="009C6FA8" w:rsidRDefault="009C6FA8" w:rsidP="009C6FA8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Исходные данные для расчёта</w:t>
      </w:r>
    </w:p>
    <w:p w:rsidR="009C6FA8" w:rsidRPr="009C6FA8" w:rsidRDefault="009C6FA8" w:rsidP="009C6FA8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разделе приводятся все необходимые для расчёта данные на основе анализа предприятия и учёта перспективы развития. Исходные данные представлены в виде таблицы 2.1.</w:t>
      </w:r>
    </w:p>
    <w:p w:rsidR="009C6FA8" w:rsidRPr="009C6FA8" w:rsidRDefault="009C6FA8" w:rsidP="009C6FA8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 2.1-Характеристика подвижного состава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463"/>
        <w:gridCol w:w="804"/>
        <w:gridCol w:w="783"/>
        <w:gridCol w:w="804"/>
        <w:gridCol w:w="783"/>
        <w:gridCol w:w="4327"/>
      </w:tblGrid>
      <w:tr w:rsidR="009C6FA8" w:rsidRPr="009C6FA8" w:rsidTr="009C6FA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Марка, модель</w:t>
            </w:r>
          </w:p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Число автомобилей имеющих пробег </w:t>
            </w:r>
            <w:proofErr w:type="gramStart"/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</w:p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начала эксплуатации в долях от </w:t>
            </w:r>
            <w:proofErr w:type="spellStart"/>
            <w:proofErr w:type="gramStart"/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</w:t>
            </w:r>
            <w:proofErr w:type="gramEnd"/>
            <w:r w:rsidRPr="009C6FA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ru-RU"/>
              </w:rPr>
              <w:t>кр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число автомобилей данной марки (ед.)</w:t>
            </w:r>
          </w:p>
        </w:tc>
      </w:tr>
      <w:tr w:rsidR="009C6FA8" w:rsidRPr="009C6FA8" w:rsidTr="009C6F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9C6FA8" w:rsidRPr="009C6FA8" w:rsidRDefault="009C6FA8" w:rsidP="009C6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</w:p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0,25</w:t>
            </w:r>
          </w:p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0,5</w:t>
            </w:r>
          </w:p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0,75</w:t>
            </w:r>
          </w:p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  <w:p w:rsidR="009C6FA8" w:rsidRPr="009C6FA8" w:rsidRDefault="009C6FA8" w:rsidP="009C6FA8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1,25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vAlign w:val="center"/>
            <w:hideMark/>
          </w:tcPr>
          <w:p w:rsidR="009C6FA8" w:rsidRPr="009C6FA8" w:rsidRDefault="009C6FA8" w:rsidP="009C6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КамАЗ-5320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КамАЗ-54118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</w:tbl>
    <w:p w:rsidR="009C6FA8" w:rsidRPr="009C6FA8" w:rsidRDefault="009C6FA8" w:rsidP="009C6FA8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Нормативы периодичности и трудоёмкости ТО и </w:t>
      </w:r>
      <w:proofErr w:type="gramStart"/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</w:t>
      </w:r>
      <w:proofErr w:type="gramEnd"/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принимаем по «Положению о ТО и ремонте подвижного состава автомобильного транспорта» [1], 1986 г. Принятые нормативы заносим в таблицы 2.2 и 2.3.</w:t>
      </w:r>
    </w:p>
    <w:p w:rsidR="009C6FA8" w:rsidRPr="009C6FA8" w:rsidRDefault="009C6FA8" w:rsidP="009C6FA8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Таблица 2.2-Удельные нормативы трудоёмкости </w:t>
      </w:r>
      <w:proofErr w:type="gramStart"/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</w:t>
      </w:r>
      <w:proofErr w:type="gramEnd"/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(табл. 2.2., приложение 4, </w:t>
      </w:r>
      <w:proofErr w:type="spellStart"/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</w:t>
      </w:r>
      <w:proofErr w:type="spellEnd"/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4.4 [1])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1146"/>
        <w:gridCol w:w="1258"/>
      </w:tblGrid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Марка, базовая 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КамАЗ-5320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КамАЗ-54118</w:t>
            </w:r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Трудоёмкость на 1000 км, чел/ч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</w:tbl>
    <w:p w:rsidR="009C6FA8" w:rsidRPr="009C6FA8" w:rsidRDefault="009C6FA8" w:rsidP="009C6FA8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6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Таблица 2.3- Исходные нормативы трудоёмкости и периодичности ТО.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1376"/>
        <w:gridCol w:w="747"/>
      </w:tblGrid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КамАЗ-5320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КамАЗ-54118</w:t>
            </w:r>
          </w:p>
        </w:tc>
        <w:tc>
          <w:tcPr>
            <w:tcW w:w="0" w:type="auto"/>
            <w:shd w:val="clear" w:color="auto" w:fill="FFFFDD"/>
            <w:vAlign w:val="center"/>
            <w:hideMark/>
          </w:tcPr>
          <w:p w:rsidR="009C6FA8" w:rsidRPr="009C6FA8" w:rsidRDefault="009C6FA8" w:rsidP="009C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6FA8" w:rsidRPr="009C6FA8" w:rsidTr="009C6FA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Периодичность, </w:t>
            </w:r>
            <w:proofErr w:type="gramStart"/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300000</w:t>
            </w:r>
          </w:p>
        </w:tc>
      </w:tr>
      <w:tr w:rsidR="009C6FA8" w:rsidRPr="009C6FA8" w:rsidTr="009C6FA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Трудоемкость, чел </w:t>
            </w:r>
            <w:proofErr w:type="gramStart"/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</w:tr>
      <w:tr w:rsidR="009C6FA8" w:rsidRPr="009C6FA8" w:rsidTr="009C6F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9C6FA8" w:rsidRPr="009C6FA8" w:rsidRDefault="009C6FA8" w:rsidP="009C6F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6F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27,6</w:t>
            </w:r>
          </w:p>
        </w:tc>
      </w:tr>
    </w:tbl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зависимости от конкретных условий принятые нормативы подлежат корректировке. Согласно [1] исходные нормативы корректируем с помощью коэффициентов: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- категория условий эксплуатации, для 2 категории эксплуатации 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 = 0,9 (для удельной трудоёмкости 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=1,1) (табл. 2.8 [1]);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- модификация подвижного состава (табл. 2.9 [1]):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для базового автомобиля 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=1,0;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для седельного тягача 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=0,95;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 - природно-климатические условия, для холодного климата 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 =0,9 (для удельной трудоёмкости 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 =1,2) (табл. 2.10 [1]);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- в зависимости от пробега с начала эксплуатации (табл. 2.11 [1]);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5</w:t>
      </w:r>
      <w:r>
        <w:rPr>
          <w:rFonts w:ascii="Arial" w:hAnsi="Arial" w:cs="Arial"/>
          <w:color w:val="000000"/>
          <w:sz w:val="20"/>
          <w:szCs w:val="20"/>
        </w:rPr>
        <w:t> - в зависимости от состава парка (табл. 2.12 [1]).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Расчётная периодичность ТО (ТО-1, ТО-2),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КР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определяется по формулам: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ТО-1 </w:t>
      </w:r>
      <w:r>
        <w:rPr>
          <w:rFonts w:ascii="Arial" w:hAnsi="Arial" w:cs="Arial"/>
          <w:color w:val="000000"/>
          <w:sz w:val="20"/>
          <w:szCs w:val="20"/>
        </w:rPr>
        <w:t>= 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ТО-1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н</w:t>
      </w:r>
      <w:r>
        <w:rPr>
          <w:rFonts w:ascii="Arial" w:hAnsi="Arial" w:cs="Arial"/>
          <w:color w:val="000000"/>
          <w:sz w:val="20"/>
          <w:szCs w:val="20"/>
        </w:rPr>
        <w:t> ∙ 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∙ 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 , км (2.1)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ТО-2 </w:t>
      </w:r>
      <w:r>
        <w:rPr>
          <w:rFonts w:ascii="Arial" w:hAnsi="Arial" w:cs="Arial"/>
          <w:color w:val="000000"/>
          <w:sz w:val="20"/>
          <w:szCs w:val="20"/>
        </w:rPr>
        <w:t>= 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ТО-2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н </w:t>
      </w:r>
      <w:r>
        <w:rPr>
          <w:rFonts w:ascii="Arial" w:hAnsi="Arial" w:cs="Arial"/>
          <w:color w:val="000000"/>
          <w:sz w:val="20"/>
          <w:szCs w:val="20"/>
        </w:rPr>
        <w:t>∙ 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  <w:vertAlign w:val="subscript"/>
        </w:rPr>
        <w:t> </w:t>
      </w:r>
      <w:r>
        <w:rPr>
          <w:rFonts w:ascii="Arial" w:hAnsi="Arial" w:cs="Arial"/>
          <w:color w:val="000000"/>
          <w:sz w:val="20"/>
          <w:szCs w:val="20"/>
        </w:rPr>
        <w:t>∙ 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 , км (2.2)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КР</w:t>
      </w:r>
      <w:r>
        <w:rPr>
          <w:rFonts w:ascii="Arial" w:hAnsi="Arial" w:cs="Arial"/>
          <w:color w:val="000000"/>
          <w:sz w:val="20"/>
          <w:szCs w:val="20"/>
        </w:rPr>
        <w:t> = 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КР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н </w:t>
      </w:r>
      <w:r>
        <w:rPr>
          <w:rFonts w:ascii="Arial" w:hAnsi="Arial" w:cs="Arial"/>
          <w:color w:val="000000"/>
          <w:sz w:val="20"/>
          <w:szCs w:val="20"/>
        </w:rPr>
        <w:t>∙ 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∙ 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∙ 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 , км (2.3)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где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</w:t>
      </w:r>
      <w:proofErr w:type="gramEnd"/>
      <w:r>
        <w:rPr>
          <w:rFonts w:ascii="Arial" w:hAnsi="Arial" w:cs="Arial"/>
          <w:color w:val="000000"/>
          <w:sz w:val="20"/>
          <w:szCs w:val="20"/>
          <w:vertAlign w:val="subscript"/>
        </w:rPr>
        <w:t>ТО </w:t>
      </w:r>
      <w:r>
        <w:rPr>
          <w:rFonts w:ascii="Arial" w:hAnsi="Arial" w:cs="Arial"/>
          <w:color w:val="000000"/>
          <w:sz w:val="20"/>
          <w:szCs w:val="20"/>
        </w:rPr>
        <w:t>– расчётная периодичность (ТО-1, ТО-2);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</w:t>
      </w:r>
      <w:proofErr w:type="gramEnd"/>
      <w:r>
        <w:rPr>
          <w:rFonts w:ascii="Arial" w:hAnsi="Arial" w:cs="Arial"/>
          <w:color w:val="000000"/>
          <w:sz w:val="20"/>
          <w:szCs w:val="20"/>
          <w:vertAlign w:val="subscript"/>
        </w:rPr>
        <w:t>КР </w:t>
      </w:r>
      <w:r>
        <w:rPr>
          <w:rFonts w:ascii="Arial" w:hAnsi="Arial" w:cs="Arial"/>
          <w:color w:val="000000"/>
          <w:sz w:val="20"/>
          <w:szCs w:val="20"/>
        </w:rPr>
        <w:t>- расчётная периодичность до капитального ремонта;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ТО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,К</w:t>
      </w:r>
      <w:proofErr w:type="gramEnd"/>
      <w:r>
        <w:rPr>
          <w:rFonts w:ascii="Arial" w:hAnsi="Arial" w:cs="Arial"/>
          <w:color w:val="000000"/>
          <w:sz w:val="20"/>
          <w:szCs w:val="20"/>
          <w:vertAlign w:val="subscript"/>
        </w:rPr>
        <w:t>Р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н</w:t>
      </w:r>
      <w:r>
        <w:rPr>
          <w:rFonts w:ascii="Arial" w:hAnsi="Arial" w:cs="Arial"/>
          <w:color w:val="000000"/>
          <w:sz w:val="20"/>
          <w:szCs w:val="20"/>
        </w:rPr>
        <w:t> – нормативная периодичность ТО и КР;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- коэффициент корректирования периодичности в зависимости от условий эксплуатации;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- коэффициент корректирования периодичности в зависимости от модификация подвижного состава;</w:t>
      </w:r>
    </w:p>
    <w:p w:rsidR="009C6FA8" w:rsidRDefault="009C6FA8" w:rsidP="009C6FA8">
      <w:pPr>
        <w:pStyle w:val="a3"/>
        <w:shd w:val="clear" w:color="auto" w:fill="FFFFDD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 - коэффициент корректирования периодичности в зависимости от природно-климатических условий</w:t>
      </w:r>
    </w:p>
    <w:p w:rsidR="004A5DA9" w:rsidRDefault="004A5DA9"/>
    <w:p w:rsidR="009C6FA8" w:rsidRDefault="009C6FA8">
      <w:r>
        <w:t>Выполнить расчет формулы 2.1, 2.2, 2.3.</w:t>
      </w:r>
      <w:bookmarkStart w:id="0" w:name="_GoBack"/>
      <w:bookmarkEnd w:id="0"/>
    </w:p>
    <w:sectPr w:rsidR="009C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41"/>
    <w:rsid w:val="004A5DA9"/>
    <w:rsid w:val="00790941"/>
    <w:rsid w:val="009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2020-10-05T00:40:00Z</dcterms:created>
  <dcterms:modified xsi:type="dcterms:W3CDTF">2020-10-05T00:44:00Z</dcterms:modified>
</cp:coreProperties>
</file>