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yandex-sans" w:cs="yandex-sans" w:eastAsia="yandex-sans" w:hAnsi="yandex-sans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sz w:val="23"/>
          <w:szCs w:val="23"/>
          <w:rtl w:val="0"/>
        </w:rPr>
        <w:t xml:space="preserve">Темы Рефератов (контрольных работ):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yandex-sans" w:cs="yandex-sans" w:eastAsia="yandex-sans" w:hAnsi="yandex-sans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yandex-sans" w:cs="yandex-sans" w:eastAsia="yandex-sans" w:hAnsi="yandex-sans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sz w:val="23"/>
          <w:szCs w:val="23"/>
          <w:rtl w:val="0"/>
        </w:rPr>
        <w:t xml:space="preserve">Контрольная работа оформляется по стандартам, указанным в папке Дистанционное обучение. Высылается сначала мне на электронную почту sharova@uifbguep.ru, после моих корректировок и комментариев регистрируете ее в деканате на первом этаже, после чего свою работу необходимо оставить на вахте.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yandex-sans" w:cs="yandex-sans" w:eastAsia="yandex-sans" w:hAnsi="yandex-sans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yandex-sans" w:cs="yandex-sans" w:eastAsia="yandex-sans" w:hAnsi="yandex-sans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1. Клеточная стенка: химический состав, структурная организация, ультраструктура и физические свойства. Функции и эволюция клеточной стенки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2. Физические и химические свойства воды. Молекулярное строение воды. Состояние воды в растворах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3. Особенности водного обмена различных групп растений: ксерофиты, мезофиты, гидрофиты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4. Почва как источник минеральных элементов. Твердая фаза почвы, почвенный раствор, состав и структура почвенного поглощающего комплекса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5. Водная, песчаная и почвенная культуры, их применение в физиологии растений. Питательные смеси. Физиологически кислые и физиологически основные соли. Гидропоника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6. Митохондрии. Их структура и функции. Изменение ультраструктуры митохондрий в зависимости от функционального состояния организма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7. Хлоропласты. Основные элементы структуры хлоропластов (двойная мембрана, матрикс, тилакоиды, граны). Онтогенез хлоропластов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8. Пигменты фотосинтеза. Особенности фотосинтетических пигментов у различных групп организмов. Компенсаторная хроматическая адаптация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9. Первичные процессы фотосинтеза. Модели переноса энергии возбуждения между молекулами пигментов. История открытия флуоресценции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10. Регуляция фотосинтетической ассимиляции СО2 у растений различных экологических групп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11. Фотосинтез в условиях промышленной фитотроники и в замкнутых системах жизнеобеспечения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12. Клеточные основы роста. Фазы роста клеток и их характеристики. Изменения морфологии и метаболизма прохождении каждой фазы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13.Фитогормоны (ауксины, гиббереллины, цитокинины, абсцизовая кислота, этилен, брассиностероиды): их строение, биосинтез, транспорт, физиологическое действие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yandex-sans" w:cs="yandex-sans" w:eastAsia="yandex-sans" w:hAnsi="yandex-sans"/>
          <w:color w:val="000000"/>
          <w:sz w:val="23"/>
          <w:szCs w:val="23"/>
        </w:rPr>
      </w:pPr>
      <w:r w:rsidDel="00000000" w:rsidR="00000000" w:rsidRPr="00000000">
        <w:rPr>
          <w:rFonts w:ascii="yandex-sans" w:cs="yandex-sans" w:eastAsia="yandex-sans" w:hAnsi="yandex-sans"/>
          <w:color w:val="000000"/>
          <w:sz w:val="23"/>
          <w:szCs w:val="23"/>
          <w:rtl w:val="0"/>
        </w:rPr>
        <w:t xml:space="preserve">14. Особенности стрессовых реакций на различных уровнях организации растительных организмов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yandex-sans" w:cs="yandex-sans" w:eastAsia="yandex-sans" w:hAnsi="yandex-sans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yandex-sans" w:cs="yandex-sans" w:eastAsia="yandex-sans" w:hAnsi="yandex-sans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yandex-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F01A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eL45iCWM9NbOThdwDGXQ1rbrQ==">AMUW2mU2+DnFwCCU5/D4Ym3ukVGPvlwn0nE/xSEhwpwqNJnjfUN3ZqP6JFeoGcYHTf/uiTA3gyes4AbfgnNaMjMFnTysddV9MR5yx2QJ3Kxy51IAQGzOf1M=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2021-01-18T16:05:00Z</dcterms:created>
  <dc:creator>Евгений</dc:creator>
</cp:coreProperties>
</file>