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3" w:rsidRDefault="00836393" w:rsidP="00E80F4F">
      <w:pPr>
        <w:pStyle w:val="a3"/>
        <w:jc w:val="center"/>
        <w:rPr>
          <w:b/>
        </w:rPr>
      </w:pPr>
      <w:r>
        <w:rPr>
          <w:b/>
        </w:rPr>
        <w:t>МЕТОДИЧЕСКИЕ РЕКОМЕНДАЦИИ И ЗАДАНИЯ ПО ВЫПОЛНЕНИЮ КОНТРОЛЬНОЙ РАБОТЫ ПО ДИСЦИПЛИНЕ  «АРБИТРАЖНЫЙ ПРОЦЕСС»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836393" w:rsidRPr="005605C8" w:rsidRDefault="00836393" w:rsidP="00E80F4F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5605C8">
        <w:rPr>
          <w:b/>
          <w:u w:val="single"/>
        </w:rPr>
        <w:t>Контрольную работу необходимо представить преподавателю не позднее, чем за</w:t>
      </w:r>
      <w:r>
        <w:rPr>
          <w:b/>
          <w:u w:val="single"/>
        </w:rPr>
        <w:t xml:space="preserve"> одну неделю до зачета!</w:t>
      </w:r>
    </w:p>
    <w:p w:rsidR="00836393" w:rsidRPr="005605C8" w:rsidRDefault="00836393" w:rsidP="00E80F4F">
      <w:pPr>
        <w:pStyle w:val="a3"/>
        <w:spacing w:before="0" w:beforeAutospacing="0" w:after="0" w:afterAutospacing="0"/>
        <w:ind w:firstLine="708"/>
        <w:jc w:val="both"/>
        <w:rPr>
          <w:u w:val="single"/>
        </w:rPr>
      </w:pPr>
      <w:proofErr w:type="gramStart"/>
      <w:r w:rsidRPr="005605C8">
        <w:rPr>
          <w:b/>
          <w:u w:val="single"/>
        </w:rPr>
        <w:t>Студенты</w:t>
      </w:r>
      <w:proofErr w:type="gramEnd"/>
      <w:r w:rsidRPr="005605C8">
        <w:rPr>
          <w:b/>
          <w:u w:val="single"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>
        <w:rPr>
          <w:u w:val="single"/>
        </w:rPr>
        <w:t>!</w:t>
      </w:r>
      <w:r w:rsidRPr="005605C8">
        <w:rPr>
          <w:u w:val="single"/>
        </w:rPr>
        <w:t xml:space="preserve">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836393" w:rsidRDefault="00836393" w:rsidP="00E80F4F">
      <w:pPr>
        <w:pStyle w:val="a3"/>
        <w:spacing w:before="0" w:beforeAutospacing="0" w:after="0" w:afterAutospacing="0"/>
        <w:ind w:firstLine="708"/>
        <w:jc w:val="both"/>
      </w:pP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 А. Н Щ.   1.   13.   25.   37.   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>В. П. Ю.   3.   15.    27.  39.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 Г. Р. Я.    4.   16.    28.   40.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>Д. С.         5.   17.    29.  41.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>Е. Т.         6.   18.    30.   42.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Ж. У.        7.   19.   31.   43.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З. Ф.         8.   20.   32.   44.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И. Х.         9.   21.   33.  45.   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>К. Ц.        10.  22.   34.   46.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Л. Ч.        11.  23.   35.  47.  </w:t>
      </w:r>
    </w:p>
    <w:p w:rsidR="00836393" w:rsidRDefault="00836393" w:rsidP="00E80F4F">
      <w:pPr>
        <w:pStyle w:val="a3"/>
        <w:spacing w:before="0" w:beforeAutospacing="0" w:after="0" w:afterAutospacing="0"/>
        <w:jc w:val="both"/>
      </w:pPr>
      <w:r>
        <w:t xml:space="preserve">М. Ш.      12.  24.   36.   48. </w:t>
      </w:r>
    </w:p>
    <w:p w:rsidR="00836393" w:rsidRDefault="00836393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836393" w:rsidRDefault="00836393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kern w:val="28"/>
          <w:sz w:val="28"/>
          <w:szCs w:val="28"/>
        </w:rPr>
      </w:pPr>
    </w:p>
    <w:p w:rsidR="00836393" w:rsidRDefault="00836393" w:rsidP="00E80F4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ТЕМЫ КОНТРОЛЬНЫХ РАБОТ ПО ДИСЦИПЛИНЕ «АРБИТРАЖНЫЙ ПРОЦЕСС»</w:t>
      </w:r>
    </w:p>
    <w:p w:rsidR="00836393" w:rsidRPr="005605C8" w:rsidRDefault="00836393" w:rsidP="00E80F4F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kern w:val="28"/>
          <w:sz w:val="28"/>
          <w:szCs w:val="28"/>
        </w:rPr>
      </w:pP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 xml:space="preserve">История становления арбитражных судов в Российской Федерации 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Структура арбитражных судов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Единоличное и коллегиальное рассмотрение дел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5C8">
        <w:rPr>
          <w:rFonts w:ascii="Times New Roman" w:hAnsi="Times New Roman"/>
          <w:bCs/>
          <w:sz w:val="24"/>
          <w:szCs w:val="24"/>
        </w:rPr>
        <w:t>Стадии арбитражного процесса.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05C8">
        <w:rPr>
          <w:rFonts w:ascii="Times New Roman" w:hAnsi="Times New Roman"/>
          <w:bCs/>
          <w:sz w:val="24"/>
          <w:szCs w:val="24"/>
        </w:rPr>
        <w:t>Виды производства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Представительство в арбитражном суде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Формы участия прокурора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Объем прав и обязанностей прокурора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Общие правила определения подведомственности дел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Основания освобождения от доказывания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Требования к письменным доказательствам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Экспертиза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Возбуждение дела как стадия арбитражного процесса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Требования к исковому заявлению и приложениям к исковому заявлению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Полномочия арбитражного суда в стадии возбуждения дела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Стадия подготовки дела к судебному разбирательству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Содержание подготовки дела к судебному разбирательству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Классификация подготовительных действий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Предварительное судебное заседание, порядок его проведения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Обеспечительные меры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Понятие апелляционного производства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Право апелляционного обжалования и его реализация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Порядок рассмотрения дела в апелляционной инстанции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Апелляционное обжалование определений суда первой инстанции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Понятие и значение кассационного пересмотра судебных актов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Возбуждение кассационного производства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Подготовка к рассмотрению дела в кассационной инстанции. Судебное разбирательство в суде кассационной инстанции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Пределы кассационного пересмотра в арбитражном процессе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Возбуждение надзорного производства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Стадии надзорного производства. Основания надзорного пересмотра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5605C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Исполнительный лист арбитражного суда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Участие третьих лиц в арбитражном процессе.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Приостановление, перерыв, восстановление, продление процессуальных сроков.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Встречный иск.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Пересмотр судебных актов по вновь открывшимся обстоятельствам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Виды арбитражного судопроизводства.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Понятие подведомственности и ее критерии. Соотношение подведомственности и компетенции.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Виды подведомственности. Тенденции развития законодательства о подведомственности.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Сущность, значение и основные черты исковой формы защиты права.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Предварительное судебное заседание: задачи и порядок проведения. Вопросы, разрешаемые в предварительном судебном заседании.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Роль председательствующего в руководстве судебным разбирательством.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Протокол судебного заседания. Порядок подачи и рассмотрения замечаний на протокол.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lastRenderedPageBreak/>
        <w:t>Характеристика прокурора как субъекта арбитражных процессуальных правоотношений.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Распределение между сторонами обязанности доказывания.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Правовая природа третейского судопроизводства</w:t>
      </w:r>
      <w:r w:rsidRPr="005605C8">
        <w:rPr>
          <w:rFonts w:ascii="Times New Roman" w:hAnsi="Times New Roman"/>
          <w:kern w:val="28"/>
          <w:sz w:val="24"/>
          <w:szCs w:val="24"/>
        </w:rPr>
        <w:t>.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Упразднение Высшего Арбитражного суда РФ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 xml:space="preserve">Соотношение арбитражного процессуального и исполнительного законодательства. </w:t>
      </w:r>
    </w:p>
    <w:p w:rsidR="00836393" w:rsidRPr="005605C8" w:rsidRDefault="00836393" w:rsidP="00BC06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605C8">
        <w:rPr>
          <w:rFonts w:ascii="Times New Roman" w:hAnsi="Times New Roman"/>
          <w:kern w:val="28"/>
          <w:sz w:val="24"/>
          <w:szCs w:val="24"/>
        </w:rPr>
        <w:t>Место арбитражного суда в исполнительном производстве.</w:t>
      </w:r>
    </w:p>
    <w:p w:rsidR="00836393" w:rsidRDefault="00836393" w:rsidP="005605C8">
      <w:pPr>
        <w:spacing w:after="0" w:line="240" w:lineRule="auto"/>
        <w:jc w:val="both"/>
        <w:rPr>
          <w:kern w:val="28"/>
        </w:rPr>
      </w:pPr>
    </w:p>
    <w:p w:rsidR="00836393" w:rsidRPr="00470919" w:rsidRDefault="00836393" w:rsidP="005605C8">
      <w:pPr>
        <w:spacing w:after="0" w:line="240" w:lineRule="auto"/>
        <w:jc w:val="both"/>
        <w:rPr>
          <w:kern w:val="28"/>
        </w:rPr>
      </w:pPr>
    </w:p>
    <w:p w:rsidR="00836393" w:rsidRPr="005605C8" w:rsidRDefault="00836393" w:rsidP="005605C8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 w:val="0"/>
          <w:caps/>
          <w:color w:val="000000"/>
          <w:sz w:val="24"/>
          <w:szCs w:val="24"/>
        </w:rPr>
      </w:pPr>
      <w:r w:rsidRPr="005605C8">
        <w:rPr>
          <w:rFonts w:ascii="Times New Roman" w:hAnsi="Times New Roman"/>
          <w:b w:val="0"/>
          <w:caps/>
          <w:color w:val="000000"/>
          <w:sz w:val="24"/>
          <w:szCs w:val="24"/>
        </w:rPr>
        <w:t>Учебно-методическое и информационное обеспечение</w:t>
      </w:r>
    </w:p>
    <w:p w:rsidR="00836393" w:rsidRDefault="00836393" w:rsidP="005605C8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 w:val="0"/>
          <w:caps/>
          <w:color w:val="000000"/>
          <w:sz w:val="24"/>
          <w:szCs w:val="24"/>
        </w:rPr>
      </w:pPr>
      <w:r w:rsidRPr="005605C8">
        <w:rPr>
          <w:rFonts w:ascii="Times New Roman" w:hAnsi="Times New Roman"/>
          <w:b w:val="0"/>
          <w:caps/>
          <w:color w:val="000000"/>
          <w:sz w:val="24"/>
          <w:szCs w:val="24"/>
        </w:rPr>
        <w:t>дисциплины</w:t>
      </w:r>
    </w:p>
    <w:p w:rsidR="00836393" w:rsidRPr="005605C8" w:rsidRDefault="00836393" w:rsidP="005605C8"/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40"/>
          <w:sz w:val="24"/>
          <w:szCs w:val="24"/>
        </w:rPr>
      </w:pPr>
      <w:r w:rsidRPr="005605C8">
        <w:rPr>
          <w:rFonts w:ascii="Times New Roman" w:hAnsi="Times New Roman"/>
          <w:bCs/>
          <w:iCs/>
          <w:spacing w:val="40"/>
          <w:sz w:val="24"/>
          <w:szCs w:val="24"/>
        </w:rPr>
        <w:t xml:space="preserve"> Перечень основной и дополнительной учебной литературы, необходимой для освоения дисциплины.</w:t>
      </w:r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40"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5605C8">
        <w:rPr>
          <w:rFonts w:ascii="Times New Roman" w:hAnsi="Times New Roman"/>
          <w:color w:val="000000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[Электронный ресурс]. </w:t>
      </w:r>
      <w:r w:rsidRPr="005605C8">
        <w:rPr>
          <w:rFonts w:ascii="Times New Roman" w:hAnsi="Times New Roman"/>
          <w:color w:val="000000"/>
          <w:sz w:val="24"/>
          <w:szCs w:val="24"/>
          <w:lang w:val="en-GB"/>
        </w:rPr>
        <w:t>URL</w:t>
      </w:r>
      <w:r w:rsidRPr="005605C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5605C8">
        <w:rPr>
          <w:rFonts w:ascii="Times New Roman" w:hAnsi="Times New Roman"/>
          <w:color w:val="000000"/>
          <w:sz w:val="24"/>
          <w:szCs w:val="24"/>
        </w:rPr>
        <w:t>://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base</w:t>
      </w:r>
      <w:r w:rsidRPr="005605C8">
        <w:rPr>
          <w:rFonts w:ascii="Times New Roman" w:hAnsi="Times New Roman"/>
          <w:color w:val="000000"/>
          <w:sz w:val="24"/>
          <w:szCs w:val="24"/>
        </w:rPr>
        <w:t>.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consultant</w:t>
      </w:r>
      <w:r w:rsidRPr="005605C8">
        <w:rPr>
          <w:rFonts w:ascii="Times New Roman" w:hAnsi="Times New Roman"/>
          <w:color w:val="000000"/>
          <w:sz w:val="24"/>
          <w:szCs w:val="24"/>
        </w:rPr>
        <w:t>.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5605C8">
        <w:rPr>
          <w:rFonts w:ascii="Times New Roman" w:hAnsi="Times New Roman"/>
          <w:color w:val="000000"/>
          <w:sz w:val="24"/>
          <w:szCs w:val="24"/>
        </w:rPr>
        <w:t>/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cons</w:t>
      </w:r>
      <w:r w:rsidRPr="005605C8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cgi</w:t>
      </w:r>
      <w:r w:rsidRPr="005605C8">
        <w:rPr>
          <w:rFonts w:ascii="Times New Roman" w:hAnsi="Times New Roman"/>
          <w:color w:val="000000"/>
          <w:sz w:val="24"/>
          <w:szCs w:val="24"/>
        </w:rPr>
        <w:t>/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online</w:t>
      </w:r>
      <w:r w:rsidRPr="005605C8">
        <w:rPr>
          <w:rFonts w:ascii="Times New Roman" w:hAnsi="Times New Roman"/>
          <w:color w:val="000000"/>
          <w:sz w:val="24"/>
          <w:szCs w:val="24"/>
        </w:rPr>
        <w:t>.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cgi</w:t>
      </w:r>
      <w:r w:rsidRPr="005605C8">
        <w:rPr>
          <w:rFonts w:ascii="Times New Roman" w:hAnsi="Times New Roman"/>
          <w:color w:val="000000"/>
          <w:sz w:val="24"/>
          <w:szCs w:val="24"/>
        </w:rPr>
        <w:t>?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req</w:t>
      </w:r>
      <w:r w:rsidRPr="005605C8">
        <w:rPr>
          <w:rFonts w:ascii="Times New Roman" w:hAnsi="Times New Roman"/>
          <w:color w:val="000000"/>
          <w:sz w:val="24"/>
          <w:szCs w:val="24"/>
        </w:rPr>
        <w:t>=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doc</w:t>
      </w:r>
      <w:r w:rsidRPr="005605C8">
        <w:rPr>
          <w:rFonts w:ascii="Times New Roman" w:hAnsi="Times New Roman"/>
          <w:color w:val="000000"/>
          <w:sz w:val="24"/>
          <w:szCs w:val="24"/>
        </w:rPr>
        <w:t>;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base</w:t>
      </w:r>
      <w:r w:rsidRPr="005605C8">
        <w:rPr>
          <w:rFonts w:ascii="Times New Roman" w:hAnsi="Times New Roman"/>
          <w:color w:val="000000"/>
          <w:sz w:val="24"/>
          <w:szCs w:val="24"/>
        </w:rPr>
        <w:t>=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LAW</w:t>
      </w:r>
      <w:r w:rsidRPr="005605C8">
        <w:rPr>
          <w:rFonts w:ascii="Times New Roman" w:hAnsi="Times New Roman"/>
          <w:color w:val="000000"/>
          <w:sz w:val="24"/>
          <w:szCs w:val="24"/>
        </w:rPr>
        <w:t>;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605C8">
        <w:rPr>
          <w:rFonts w:ascii="Times New Roman" w:hAnsi="Times New Roman"/>
          <w:color w:val="000000"/>
          <w:sz w:val="24"/>
          <w:szCs w:val="24"/>
        </w:rPr>
        <w:t>=2875;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div</w:t>
      </w:r>
      <w:r w:rsidRPr="005605C8">
        <w:rPr>
          <w:rFonts w:ascii="Times New Roman" w:hAnsi="Times New Roman"/>
          <w:color w:val="000000"/>
          <w:sz w:val="24"/>
          <w:szCs w:val="24"/>
        </w:rPr>
        <w:t>=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LAW</w:t>
      </w:r>
      <w:r w:rsidRPr="005605C8">
        <w:rPr>
          <w:rFonts w:ascii="Times New Roman" w:hAnsi="Times New Roman"/>
          <w:color w:val="000000"/>
          <w:sz w:val="24"/>
          <w:szCs w:val="24"/>
        </w:rPr>
        <w:t>;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dst</w:t>
      </w:r>
      <w:r w:rsidRPr="005605C8">
        <w:rPr>
          <w:rFonts w:ascii="Times New Roman" w:hAnsi="Times New Roman"/>
          <w:color w:val="000000"/>
          <w:sz w:val="24"/>
          <w:szCs w:val="24"/>
        </w:rPr>
        <w:t>=100639,3;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>rnd</w:t>
      </w:r>
      <w:r w:rsidRPr="005605C8">
        <w:rPr>
          <w:rFonts w:ascii="Times New Roman" w:hAnsi="Times New Roman"/>
          <w:color w:val="000000"/>
          <w:sz w:val="24"/>
          <w:szCs w:val="24"/>
        </w:rPr>
        <w:t>=0.9636737954653597</w:t>
      </w:r>
    </w:p>
    <w:p w:rsidR="00836393" w:rsidRPr="005605C8" w:rsidRDefault="00836393" w:rsidP="0056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  <w:lang w:val="en-US"/>
        </w:rPr>
      </w:pPr>
      <w:r w:rsidRPr="005605C8"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5605C8">
        <w:rPr>
          <w:rFonts w:ascii="Times New Roman" w:hAnsi="Times New Roman"/>
          <w:bCs/>
          <w:color w:val="000000"/>
          <w:sz w:val="24"/>
          <w:szCs w:val="24"/>
        </w:rPr>
        <w:t>Арбитражный процессуальный кодекс Российской Федерации от 24.07.2002г. № 95-ФЗ</w:t>
      </w:r>
      <w:r w:rsidRPr="005605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605C8">
        <w:rPr>
          <w:rFonts w:ascii="Times New Roman" w:hAnsi="Times New Roman"/>
          <w:color w:val="000000"/>
          <w:sz w:val="24"/>
          <w:szCs w:val="24"/>
        </w:rPr>
        <w:t>(с изменениями от</w:t>
      </w:r>
      <w:r w:rsidRPr="005605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560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29.07.2017</w:t>
      </w:r>
      <w:r w:rsidRPr="005605C8">
        <w:rPr>
          <w:rFonts w:ascii="Times New Roman" w:hAnsi="Times New Roman"/>
          <w:sz w:val="24"/>
          <w:szCs w:val="24"/>
        </w:rPr>
        <w:t>г</w:t>
      </w:r>
      <w:r w:rsidRPr="005605C8">
        <w:rPr>
          <w:rFonts w:ascii="Times New Roman" w:hAnsi="Times New Roman"/>
          <w:color w:val="000000"/>
          <w:sz w:val="24"/>
          <w:szCs w:val="24"/>
        </w:rPr>
        <w:t>.)/</w:t>
      </w:r>
      <w:r w:rsidRPr="005605C8">
        <w:rPr>
          <w:rFonts w:ascii="Times New Roman" w:hAnsi="Times New Roman"/>
          <w:sz w:val="24"/>
          <w:szCs w:val="24"/>
        </w:rPr>
        <w:t xml:space="preserve"> </w:t>
      </w:r>
      <w:r w:rsidRPr="005605C8">
        <w:rPr>
          <w:rFonts w:ascii="Times New Roman" w:hAnsi="Times New Roman"/>
          <w:sz w:val="24"/>
          <w:szCs w:val="24"/>
          <w:lang w:val="en-US"/>
        </w:rPr>
        <w:t>[</w:t>
      </w:r>
      <w:r w:rsidRPr="005605C8">
        <w:rPr>
          <w:rFonts w:ascii="Times New Roman" w:hAnsi="Times New Roman"/>
          <w:sz w:val="24"/>
          <w:szCs w:val="24"/>
        </w:rPr>
        <w:t>Электронный</w:t>
      </w:r>
      <w:r w:rsidRPr="005605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605C8">
        <w:rPr>
          <w:rFonts w:ascii="Times New Roman" w:hAnsi="Times New Roman"/>
          <w:sz w:val="24"/>
          <w:szCs w:val="24"/>
        </w:rPr>
        <w:t>ресурс</w:t>
      </w:r>
      <w:r w:rsidRPr="005605C8">
        <w:rPr>
          <w:rFonts w:ascii="Times New Roman" w:hAnsi="Times New Roman"/>
          <w:sz w:val="24"/>
          <w:szCs w:val="24"/>
          <w:lang w:val="en-US"/>
        </w:rPr>
        <w:t>]. URL:</w:t>
      </w:r>
      <w:r w:rsidRPr="005605C8">
        <w:rPr>
          <w:rFonts w:ascii="Times New Roman" w:hAnsi="Times New Roman"/>
          <w:color w:val="000000"/>
          <w:sz w:val="24"/>
          <w:szCs w:val="24"/>
          <w:lang w:val="en-US"/>
        </w:rPr>
        <w:t xml:space="preserve"> http://www.consul tant.ru/document/cons_doc_LAW_37800/ </w:t>
      </w:r>
    </w:p>
    <w:p w:rsidR="00836393" w:rsidRPr="005605C8" w:rsidRDefault="00836393" w:rsidP="005605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</w:rPr>
      </w:pPr>
      <w:r w:rsidRPr="005605C8">
        <w:rPr>
          <w:rFonts w:ascii="Times New Roman" w:hAnsi="Times New Roman"/>
          <w:iCs/>
          <w:color w:val="000000"/>
          <w:sz w:val="24"/>
          <w:szCs w:val="24"/>
        </w:rPr>
        <w:t>3. Гражданский кодекс Российской Федерации (часть 1) от 30.11.1994 № 51-ФЗ (ред. от 29.07.2017) /</w:t>
      </w:r>
      <w:r w:rsidRPr="005605C8">
        <w:rPr>
          <w:rFonts w:ascii="Times New Roman" w:hAnsi="Times New Roman"/>
          <w:sz w:val="24"/>
          <w:szCs w:val="24"/>
        </w:rPr>
        <w:t xml:space="preserve"> [Электронный ресурс]. </w:t>
      </w:r>
      <w:r w:rsidRPr="005605C8">
        <w:rPr>
          <w:rFonts w:ascii="Times New Roman" w:hAnsi="Times New Roman"/>
          <w:sz w:val="24"/>
          <w:szCs w:val="24"/>
          <w:lang w:val="en-US"/>
        </w:rPr>
        <w:t>URL</w:t>
      </w:r>
      <w:r w:rsidRPr="005605C8">
        <w:rPr>
          <w:rFonts w:ascii="Times New Roman" w:hAnsi="Times New Roman"/>
          <w:sz w:val="24"/>
          <w:szCs w:val="24"/>
        </w:rPr>
        <w:t>: http://www.consultant.ru/document/cons_doc_LAW_5142/</w:t>
      </w:r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5605C8">
        <w:rPr>
          <w:rFonts w:ascii="Times New Roman" w:hAnsi="Times New Roman"/>
          <w:spacing w:val="20"/>
          <w:sz w:val="24"/>
          <w:szCs w:val="24"/>
        </w:rPr>
        <w:t>дополнительная литература:</w:t>
      </w:r>
    </w:p>
    <w:p w:rsidR="00836393" w:rsidRPr="005605C8" w:rsidRDefault="00836393" w:rsidP="00560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1. Арбитражный процесс: Учебник для студентов юрид. вузов /рук</w:t>
      </w:r>
      <w:proofErr w:type="gramStart"/>
      <w:r w:rsidRPr="005605C8">
        <w:rPr>
          <w:rFonts w:ascii="Times New Roman" w:hAnsi="Times New Roman"/>
          <w:sz w:val="24"/>
          <w:szCs w:val="24"/>
        </w:rPr>
        <w:t>.</w:t>
      </w:r>
      <w:proofErr w:type="gramEnd"/>
      <w:r w:rsidRPr="005605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05C8">
        <w:rPr>
          <w:rFonts w:ascii="Times New Roman" w:hAnsi="Times New Roman"/>
          <w:sz w:val="24"/>
          <w:szCs w:val="24"/>
        </w:rPr>
        <w:t>а</w:t>
      </w:r>
      <w:proofErr w:type="gramEnd"/>
      <w:r w:rsidRPr="005605C8">
        <w:rPr>
          <w:rFonts w:ascii="Times New Roman" w:hAnsi="Times New Roman"/>
          <w:sz w:val="24"/>
          <w:szCs w:val="24"/>
        </w:rPr>
        <w:t>вт. коллектива и отв. ред. В.В. Ярков. – 2-е изд., перераб. и доп., стер. – М.: Волтерс Клувер, 2015.</w:t>
      </w:r>
    </w:p>
    <w:p w:rsidR="00836393" w:rsidRPr="005605C8" w:rsidRDefault="00836393" w:rsidP="005605C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403"/>
        <w:jc w:val="center"/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</w:pPr>
      <w:r w:rsidRPr="005605C8"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  <w:t>Перечень ресурсов информационно-телекоммуникацион</w:t>
      </w:r>
    </w:p>
    <w:p w:rsidR="00836393" w:rsidRPr="005605C8" w:rsidRDefault="00836393" w:rsidP="005605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05C8">
        <w:rPr>
          <w:rFonts w:ascii="Times New Roman" w:hAnsi="Times New Roman"/>
          <w:bCs/>
          <w:iCs/>
          <w:color w:val="000000"/>
          <w:spacing w:val="40"/>
          <w:sz w:val="24"/>
          <w:szCs w:val="24"/>
        </w:rPr>
        <w:t>ной сети «Интернет», необходимых для освоения дисциплины.</w:t>
      </w:r>
    </w:p>
    <w:p w:rsidR="00836393" w:rsidRPr="005605C8" w:rsidRDefault="00836393" w:rsidP="005605C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05C8">
        <w:rPr>
          <w:rFonts w:ascii="Times New Roman" w:hAnsi="Times New Roman"/>
          <w:color w:val="000000"/>
          <w:sz w:val="24"/>
          <w:szCs w:val="24"/>
        </w:rPr>
        <w:t>1. Арбитражный процессуальный кодекс Российской Федерации с постатейными материалами судебной практики и комментариями / под ред. Т.К. Андреевой.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Статут, 2014. - 942 с. - Библиогр. в кн. - ISBN 978-5-8354-0892-4 ; То же [Электронный ресурс]. - URL:</w:t>
      </w:r>
      <w:r w:rsidRPr="005605C8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5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//biblioclub.ru/index.php?page=book&amp;id=450669</w:t>
        </w:r>
      </w:hyperlink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color w:val="000000"/>
          <w:sz w:val="24"/>
          <w:szCs w:val="24"/>
        </w:rPr>
        <w:t>2. Воронов, А.Ф. Арбитражный процесс. Практикум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А.Ф. Воронов, С.В. Моисеев, В.М. Шерстюк ; Московский государственный университет имени М.В. Ломоносова, Юридический факультет ; под ред. А.Ф. Воронов.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Статут, 2014. - 158 с. - Библиогр. в кн. - ISBN 978-5-8354-1062-0 ; То же [Электронный ресурс]. - URL:</w:t>
      </w:r>
      <w:r w:rsidRPr="005605C8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6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//biblioclub.ru/index.php?page=book&amp;id=450695</w:t>
        </w:r>
      </w:hyperlink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color w:val="000000"/>
          <w:sz w:val="24"/>
          <w:szCs w:val="24"/>
        </w:rPr>
        <w:t>3. Кузнецов, А.П. Арбитражный процесс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учебное пособие / А.П. Кузнецов, Р.П. Козлов.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Юнити-Дана, 2015. - 319 с. - (Dur a lex, sed lex). - Библиогр. в кн. - ISBN 978-5-238-02691-6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То же [Электронный ресурс]. - URL:</w:t>
      </w:r>
      <w:r w:rsidRPr="005605C8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7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//biblioclub.ru/index.php?page=book&amp;id=426602</w:t>
        </w:r>
      </w:hyperlink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05C8">
        <w:rPr>
          <w:rFonts w:ascii="Times New Roman" w:hAnsi="Times New Roman"/>
          <w:color w:val="000000"/>
          <w:sz w:val="24"/>
          <w:szCs w:val="24"/>
        </w:rPr>
        <w:t>4. Лебедь, К.А. Решение арбитражного суда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пособие / К.А. Лебедь ; отв. ред. Т.Е. Абова.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Берлин : Директ-Медиа, 2015. - 117 с. - Библиогр. в кн. - ISBN 978-5-4475-5152-0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То же [Электронный ресурс]. - </w:t>
      </w:r>
      <w:r w:rsidRPr="005605C8">
        <w:rPr>
          <w:rFonts w:ascii="Times New Roman" w:hAnsi="Times New Roman"/>
          <w:color w:val="000000"/>
          <w:sz w:val="24"/>
          <w:szCs w:val="24"/>
        </w:rPr>
        <w:lastRenderedPageBreak/>
        <w:t>URL:</w:t>
      </w:r>
      <w:r w:rsidRPr="005605C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//biblioclub.ru/index.php?page=book&amp;id=362956</w:t>
        </w:r>
      </w:hyperlink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sz w:val="24"/>
          <w:szCs w:val="24"/>
        </w:rPr>
        <w:t>5.</w:t>
      </w:r>
      <w:r w:rsidRPr="005605C8">
        <w:rPr>
          <w:rFonts w:ascii="Times New Roman" w:hAnsi="Times New Roman"/>
          <w:color w:val="000000"/>
          <w:sz w:val="24"/>
          <w:szCs w:val="24"/>
        </w:rPr>
        <w:t>Потапова, А.А. Арбитражное процессуальное право. Конспект лекций / А.А. Потапова.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Проспект, 2015. - 122 с. - ISBN 978-5-392-15477-7 ; То же [Электронный ресурс]. - URL:</w:t>
      </w:r>
      <w:r w:rsidRPr="005605C8">
        <w:rPr>
          <w:rStyle w:val="apple-converted-space"/>
          <w:rFonts w:ascii="Times New Roman" w:hAnsi="Times New Roman"/>
          <w:color w:val="454545"/>
          <w:sz w:val="24"/>
          <w:szCs w:val="24"/>
        </w:rPr>
        <w:t> </w:t>
      </w:r>
      <w:hyperlink r:id="rId9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//biblioclub.ru/index.php?page=book&amp;id=276975</w:t>
        </w:r>
      </w:hyperlink>
    </w:p>
    <w:p w:rsidR="00836393" w:rsidRPr="005605C8" w:rsidRDefault="00836393" w:rsidP="005605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05C8">
        <w:rPr>
          <w:rFonts w:ascii="Times New Roman" w:hAnsi="Times New Roman"/>
          <w:color w:val="000000"/>
          <w:sz w:val="24"/>
          <w:szCs w:val="24"/>
        </w:rPr>
        <w:t>6. Шерстюк, В.М. Современные проблемы гражданского и арбитражного судопроизводства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сборник статей / В.М. Шерстюк. - М.</w:t>
      </w:r>
      <w:proofErr w:type="gramStart"/>
      <w:r w:rsidRPr="005605C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605C8">
        <w:rPr>
          <w:rFonts w:ascii="Times New Roman" w:hAnsi="Times New Roman"/>
          <w:color w:val="000000"/>
          <w:sz w:val="24"/>
          <w:szCs w:val="24"/>
        </w:rPr>
        <w:t xml:space="preserve"> Статут, 2015. - 272 с. - Библиогр. в кн. - ISBN 978-5-8354-1146-7 ; То же [Электронный ресурс]. - URL:</w:t>
      </w:r>
      <w:r w:rsidRPr="005605C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 w:rsidRPr="005605C8">
          <w:rPr>
            <w:rStyle w:val="a4"/>
            <w:rFonts w:ascii="Times New Roman" w:hAnsi="Times New Roman"/>
            <w:color w:val="006CA1"/>
            <w:sz w:val="24"/>
            <w:szCs w:val="24"/>
          </w:rPr>
          <w:t>//biblioclub.ru/index.php?page=book&amp;id=452606</w:t>
        </w:r>
      </w:hyperlink>
    </w:p>
    <w:p w:rsidR="00836393" w:rsidRDefault="00836393" w:rsidP="00E80F4F">
      <w:pPr>
        <w:spacing w:after="0"/>
      </w:pPr>
    </w:p>
    <w:sectPr w:rsidR="00836393" w:rsidSect="00AF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7FF0"/>
    <w:multiLevelType w:val="hybridMultilevel"/>
    <w:tmpl w:val="F776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F4F"/>
    <w:rsid w:val="000C2C0E"/>
    <w:rsid w:val="00470919"/>
    <w:rsid w:val="005605C8"/>
    <w:rsid w:val="006801AB"/>
    <w:rsid w:val="00744A6C"/>
    <w:rsid w:val="00836393"/>
    <w:rsid w:val="0090568D"/>
    <w:rsid w:val="00AF24E4"/>
    <w:rsid w:val="00BC06E1"/>
    <w:rsid w:val="00E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0F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0F4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E8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E80F4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80F4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80F4F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locked/>
    <w:rsid w:val="00BC06E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605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362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266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069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&amp;id=450669" TargetMode="External"/><Relationship Id="rId10" Type="http://schemas.openxmlformats.org/officeDocument/2006/relationships/hyperlink" Target="http://biblioclub.ru/index.php?page=book&amp;id=452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6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1247</Words>
  <Characters>7113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Эксперт</cp:lastModifiedBy>
  <cp:revision>7</cp:revision>
  <dcterms:created xsi:type="dcterms:W3CDTF">2015-08-21T19:01:00Z</dcterms:created>
  <dcterms:modified xsi:type="dcterms:W3CDTF">2019-12-09T07:40:00Z</dcterms:modified>
</cp:coreProperties>
</file>