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Задание на выполнение контрольной работы</w:t>
      </w:r>
      <w:r>
        <w:rPr>
          <w:sz w:val="12"/>
        </w:rPr>
        <w:t xml:space="preserve"> по дисциплине «Государственное управление и регулирование в транспортной системе» для специальности </w:t>
      </w:r>
      <w:proofErr w:type="spellStart"/>
      <w:r>
        <w:rPr>
          <w:sz w:val="12"/>
        </w:rPr>
        <w:t>МАПу</w:t>
      </w:r>
      <w:proofErr w:type="spellEnd"/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Каждый студент, обучающийся на Заочном факультете, в соответствии с учебным планом должен выполнить письменную контрольную работу и представить ее на рецензирование не позднее срока, установленного учебным планом.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Написание контрольной работ</w:t>
      </w:r>
      <w:r>
        <w:rPr>
          <w:sz w:val="12"/>
        </w:rPr>
        <w:t xml:space="preserve">ы по </w:t>
      </w:r>
      <w:r>
        <w:rPr>
          <w:sz w:val="12"/>
        </w:rPr>
        <w:t>дисциплине «Государственное управление и регулирование в транспортной системе»</w:t>
      </w:r>
      <w:r>
        <w:rPr>
          <w:sz w:val="12"/>
        </w:rPr>
        <w:t xml:space="preserve"> являет</w:t>
      </w:r>
      <w:r w:rsidRPr="006A6956">
        <w:rPr>
          <w:sz w:val="12"/>
        </w:rPr>
        <w:t>ся одной из важнейших форм самостоятельного изучения студентом ЗФ программного материала.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Работа должна быть выполнен</w:t>
      </w:r>
      <w:r>
        <w:rPr>
          <w:sz w:val="12"/>
        </w:rPr>
        <w:t>а самостоятельно на основе пред</w:t>
      </w:r>
      <w:r w:rsidRPr="006A6956">
        <w:rPr>
          <w:sz w:val="12"/>
        </w:rPr>
        <w:t xml:space="preserve">варительного изучения настоящих </w:t>
      </w:r>
      <w:r>
        <w:rPr>
          <w:sz w:val="12"/>
        </w:rPr>
        <w:t>методических указаний и рекомен</w:t>
      </w:r>
      <w:r w:rsidRPr="006A6956">
        <w:rPr>
          <w:sz w:val="12"/>
        </w:rPr>
        <w:t xml:space="preserve">дованной литературы по темам и правильно оформлена с соблюдением всех требований, предъявляемых к контрольным работам. Студент обязан ответить на все вопросы </w:t>
      </w:r>
      <w:r>
        <w:rPr>
          <w:sz w:val="12"/>
        </w:rPr>
        <w:t>преподавателя по контрольной ра</w:t>
      </w:r>
      <w:r w:rsidRPr="006A6956">
        <w:rPr>
          <w:sz w:val="12"/>
        </w:rPr>
        <w:t>боте в процессе ее защиты.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Контрольная работа включает ответы на два вопроса, которые выбираются студентом в соответствии с двумя последними цифрам</w:t>
      </w:r>
      <w:r>
        <w:rPr>
          <w:sz w:val="12"/>
        </w:rPr>
        <w:t>и номера зачетной книжки</w:t>
      </w:r>
      <w:r w:rsidRPr="006A6956">
        <w:rPr>
          <w:sz w:val="12"/>
        </w:rPr>
        <w:t>: предпоследняя цифра (десятки) по вертикали, последняя (единицы) по горизонтали, на пересечении номер варианта, состоящий из цифры и буквы. П</w:t>
      </w:r>
      <w:r>
        <w:rPr>
          <w:sz w:val="12"/>
        </w:rPr>
        <w:t>о перечню вопро</w:t>
      </w:r>
      <w:r w:rsidRPr="006A6956">
        <w:rPr>
          <w:sz w:val="12"/>
        </w:rPr>
        <w:t>сов студент находит темы для контрольной работы.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Например, номер зачетной книжки 95029. Две последние цифры 29. Это значит, что студент должен выбрать: по вертикали – 2 (десятки) и по горизонтали – 9 (единицы). Его вариант: 2К.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В перечне вопросов под цифрой 2 – Договор перевозки груза и почты. Под буквой</w:t>
      </w:r>
      <w:proofErr w:type="gramStart"/>
      <w:r w:rsidRPr="006A6956">
        <w:rPr>
          <w:sz w:val="12"/>
        </w:rPr>
        <w:t xml:space="preserve"> К</w:t>
      </w:r>
      <w:proofErr w:type="gramEnd"/>
      <w:r w:rsidRPr="006A6956">
        <w:rPr>
          <w:sz w:val="12"/>
        </w:rPr>
        <w:t xml:space="preserve"> –  Международная организация гражданской авиации (ИКАО). Эти вопросы и б</w:t>
      </w:r>
      <w:r>
        <w:rPr>
          <w:sz w:val="12"/>
        </w:rPr>
        <w:t>удут заданием на контрольную ра</w:t>
      </w:r>
      <w:r w:rsidRPr="006A6956">
        <w:rPr>
          <w:sz w:val="12"/>
        </w:rPr>
        <w:t>боту для обладателя зачетки с последними цифрами 29.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Если последние цифры 00, то шиф</w:t>
      </w:r>
      <w:r>
        <w:rPr>
          <w:sz w:val="12"/>
        </w:rPr>
        <w:t>р 0Л; если 01, то 0</w:t>
      </w:r>
      <w:bookmarkStart w:id="0" w:name="_GoBack"/>
      <w:bookmarkEnd w:id="0"/>
      <w:r w:rsidRPr="006A6956">
        <w:rPr>
          <w:sz w:val="12"/>
        </w:rPr>
        <w:t>А; если 10, то 1Л и т.д.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 xml:space="preserve"> 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Перечень вопросов для выбора варианта контрольной работы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1. Договор перевозки пассажира и багажа.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2. Договор перевозки груза и почты.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3. Акты, претензии и иски при перевозках.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4. Ответственность за вред, причиненный пассажиру.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5. Ответственность за вред, причиненный грузу.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6. Международные перевозки пассажиров.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7. Международные перевозки грузов.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8. Уголовная ответственность на транспорте.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9. Административная ответственность на транспорте.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10. Особенности дисциплинарной ответственности работников транспорта.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 xml:space="preserve"> 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А. Предмет и система транспортного права.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Б. Понятие и виды источников транспортного права.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В. Источники международного права, регулирующие деятельность транспорта.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 xml:space="preserve">Г. Контроль и надзор </w:t>
      </w:r>
      <w:proofErr w:type="gramStart"/>
      <w:r w:rsidRPr="006A6956">
        <w:rPr>
          <w:sz w:val="12"/>
        </w:rPr>
        <w:t>на</w:t>
      </w:r>
      <w:proofErr w:type="gramEnd"/>
      <w:r w:rsidRPr="006A6956">
        <w:rPr>
          <w:sz w:val="12"/>
        </w:rPr>
        <w:t xml:space="preserve"> транспорта.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Д. Государственное регулирование и управление на транспорте.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Е. Органы управления транспортом. Минтранс России.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Ж. Органы управления транспортом. МПС России.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П. Межправительственные и неправительственные международные организации транспорта.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К. Международная организация гражданской авиации (ИКАО).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>Л. Контроль и надзор на транспорте.</w:t>
      </w:r>
    </w:p>
    <w:p w:rsidR="006A6956" w:rsidRPr="006A6956" w:rsidRDefault="006A6956" w:rsidP="006A6956">
      <w:pPr>
        <w:rPr>
          <w:sz w:val="12"/>
        </w:rPr>
      </w:pPr>
      <w:r w:rsidRPr="006A6956">
        <w:rPr>
          <w:sz w:val="12"/>
        </w:rPr>
        <w:t xml:space="preserve"> </w:t>
      </w:r>
      <w:r w:rsidRPr="006A6956">
        <w:rPr>
          <w:sz w:val="12"/>
        </w:rPr>
        <w:tab/>
      </w:r>
    </w:p>
    <w:p w:rsidR="00900A49" w:rsidRPr="006A6956" w:rsidRDefault="00900A49">
      <w:pPr>
        <w:rPr>
          <w:sz w:val="12"/>
        </w:rPr>
      </w:pPr>
    </w:p>
    <w:sectPr w:rsidR="00900A49" w:rsidRPr="006A6956" w:rsidSect="00C810E8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00"/>
    <w:rsid w:val="006A6956"/>
    <w:rsid w:val="007E0300"/>
    <w:rsid w:val="0090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2016-03-06T09:25:00Z</dcterms:created>
  <dcterms:modified xsi:type="dcterms:W3CDTF">2016-03-06T09:31:00Z</dcterms:modified>
</cp:coreProperties>
</file>