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Основные положения Конституции Российской Федерации.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Права и свободы человека и гражданина, механизмы их реализации.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Понятие правового регулирования в сфере профессиональной деятельности.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Организационно-правовые формы юридических лиц.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Правовое положение субъектов предпринимательской деятельности.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Права и обязанности работников в сфере профессиональной деятельности.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Порядок заключения трудового договора и основания для его прекращения.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Правила оплаты труда.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Роль государственного регулирования в обеспечении занятости населения.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Право социальной защиты граждан.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252" w:lineRule="auto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Понятие дисциплинарной и материальной ответственности работника.</w:t>
      </w:r>
    </w:p>
    <w:p w:rsidR="008F4DD0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="0" w:firstLine="709"/>
        <w:rPr>
          <w:bCs/>
          <w:color w:val="000000"/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Виды административных правонарушений и административной ответственности.</w:t>
      </w:r>
    </w:p>
    <w:p w:rsidR="00975DC6" w:rsidRPr="008F4DD0" w:rsidRDefault="008F4DD0" w:rsidP="008F4D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F4DD0">
        <w:rPr>
          <w:bCs/>
          <w:color w:val="000000"/>
          <w:sz w:val="28"/>
          <w:szCs w:val="28"/>
        </w:rPr>
        <w:t>Нормы защиты нарушенных прав и судебный порядок разрешения споров.</w:t>
      </w:r>
    </w:p>
    <w:sectPr w:rsidR="00975DC6" w:rsidRPr="008F4DD0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96840"/>
    <w:multiLevelType w:val="hybridMultilevel"/>
    <w:tmpl w:val="3C60A99E"/>
    <w:lvl w:ilvl="0" w:tplc="3A58BA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DD0"/>
    <w:rsid w:val="008F4DD0"/>
    <w:rsid w:val="00975DC6"/>
    <w:rsid w:val="0098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D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2013-12-10T12:17:00Z</dcterms:created>
  <dcterms:modified xsi:type="dcterms:W3CDTF">2013-12-10T12:20:00Z</dcterms:modified>
</cp:coreProperties>
</file>