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B0" w:rsidRPr="00D83931" w:rsidRDefault="00EB12B0" w:rsidP="00EB1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31"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Управление развитием бизнеса</w:t>
      </w:r>
      <w:r w:rsidRPr="00D83931">
        <w:rPr>
          <w:rFonts w:ascii="Times New Roman" w:hAnsi="Times New Roman" w:cs="Times New Roman"/>
          <w:b/>
          <w:sz w:val="24"/>
          <w:szCs w:val="24"/>
        </w:rPr>
        <w:t>»</w:t>
      </w:r>
    </w:p>
    <w:p w:rsidR="00EB12B0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2B0" w:rsidRPr="00EE3156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Цель контрольной работы заключается в контроле самостоятельной работы и в проверке уровня теоретической подготовки студентов.</w:t>
      </w:r>
    </w:p>
    <w:p w:rsidR="00EB12B0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Контрольная работа по дисциплине «</w:t>
      </w:r>
      <w:r>
        <w:rPr>
          <w:rFonts w:ascii="Times New Roman" w:hAnsi="Times New Roman" w:cs="Times New Roman"/>
          <w:sz w:val="24"/>
          <w:szCs w:val="24"/>
        </w:rPr>
        <w:t>Управление развитием бизнеса</w:t>
      </w:r>
      <w:r w:rsidRPr="00EE3156">
        <w:rPr>
          <w:rFonts w:ascii="Times New Roman" w:hAnsi="Times New Roman" w:cs="Times New Roman"/>
          <w:sz w:val="24"/>
          <w:szCs w:val="24"/>
        </w:rPr>
        <w:t xml:space="preserve">» выполняется по одному из нижеприведенных вариантов. </w:t>
      </w:r>
    </w:p>
    <w:p w:rsidR="00EB12B0" w:rsidRPr="00EE3156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рассмотрении теоретического вопроса</w:t>
      </w:r>
      <w:r w:rsidRPr="00EE3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необходио </w:t>
      </w:r>
      <w:r w:rsidRPr="00EE3156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пользовать</w:t>
      </w:r>
      <w:r w:rsidRPr="00EE3156">
        <w:rPr>
          <w:rFonts w:ascii="Times New Roman" w:hAnsi="Times New Roman" w:cs="Times New Roman"/>
          <w:sz w:val="24"/>
          <w:szCs w:val="24"/>
        </w:rPr>
        <w:t xml:space="preserve"> учебную, методическую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периодическую литературу. </w:t>
      </w:r>
      <w:r w:rsidRPr="00EE3156">
        <w:rPr>
          <w:rFonts w:ascii="Times New Roman" w:hAnsi="Times New Roman" w:cs="Times New Roman"/>
          <w:sz w:val="24"/>
          <w:szCs w:val="24"/>
        </w:rPr>
        <w:t xml:space="preserve">Для пояснения ответов рекомендуется использовать таблицы, графики, схемы и другой иллюстративный материал. </w:t>
      </w:r>
      <w:r>
        <w:rPr>
          <w:rFonts w:ascii="Times New Roman" w:hAnsi="Times New Roman" w:cs="Times New Roman"/>
          <w:sz w:val="24"/>
          <w:szCs w:val="24"/>
        </w:rPr>
        <w:t>Объем теоретичесского материала 5-8 страниц</w:t>
      </w:r>
      <w:r w:rsidRPr="00EE3156">
        <w:rPr>
          <w:rFonts w:ascii="Times New Roman" w:hAnsi="Times New Roman" w:cs="Times New Roman"/>
          <w:sz w:val="24"/>
          <w:szCs w:val="24"/>
        </w:rPr>
        <w:t>.</w:t>
      </w:r>
    </w:p>
    <w:p w:rsidR="00EB12B0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</w:t>
      </w:r>
      <w:r>
        <w:rPr>
          <w:rFonts w:ascii="Times New Roman" w:hAnsi="Times New Roman" w:cs="Times New Roman"/>
          <w:sz w:val="24"/>
          <w:szCs w:val="24"/>
        </w:rPr>
        <w:t>«БГУ»</w:t>
      </w:r>
      <w:r w:rsidRPr="00EE3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2B0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В конце работы следует привести список используемых источников. </w:t>
      </w:r>
    </w:p>
    <w:p w:rsidR="00EB12B0" w:rsidRDefault="00EB12B0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Вариант задания выбирается по последней цифре номера зачет</w:t>
      </w:r>
      <w:r>
        <w:rPr>
          <w:rFonts w:ascii="Times New Roman" w:hAnsi="Times New Roman" w:cs="Times New Roman"/>
          <w:sz w:val="24"/>
          <w:szCs w:val="24"/>
        </w:rPr>
        <w:t xml:space="preserve">ной книжки,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5EDF" w:rsidRDefault="00235EDF" w:rsidP="00E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2"/>
        <w:gridCol w:w="839"/>
        <w:gridCol w:w="839"/>
        <w:gridCol w:w="862"/>
        <w:gridCol w:w="840"/>
        <w:gridCol w:w="840"/>
        <w:gridCol w:w="841"/>
        <w:gridCol w:w="841"/>
        <w:gridCol w:w="841"/>
        <w:gridCol w:w="863"/>
        <w:gridCol w:w="833"/>
      </w:tblGrid>
      <w:tr w:rsidR="00EB12B0" w:rsidTr="00EA74E8">
        <w:tc>
          <w:tcPr>
            <w:tcW w:w="1132" w:type="dxa"/>
            <w:shd w:val="clear" w:color="auto" w:fill="D9D9D9" w:themeFill="background1" w:themeFillShade="D9"/>
          </w:tcPr>
          <w:p w:rsidR="00EB12B0" w:rsidRPr="00EE3156" w:rsidRDefault="00EB12B0" w:rsidP="000A559E">
            <w:pPr>
              <w:jc w:val="both"/>
            </w:pPr>
            <w:r w:rsidRPr="00EE3156">
              <w:t>Номер варианта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1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2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3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5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6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7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8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9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EB12B0" w:rsidRPr="00EE3156" w:rsidRDefault="00EB12B0" w:rsidP="000A559E">
            <w:pPr>
              <w:jc w:val="center"/>
            </w:pPr>
            <w:r>
              <w:t>10</w:t>
            </w:r>
          </w:p>
        </w:tc>
      </w:tr>
      <w:tr w:rsidR="00EB12B0" w:rsidTr="00EA74E8">
        <w:tc>
          <w:tcPr>
            <w:tcW w:w="1132" w:type="dxa"/>
          </w:tcPr>
          <w:p w:rsidR="00EB12B0" w:rsidRPr="00EE3156" w:rsidRDefault="00EB12B0" w:rsidP="000A559E">
            <w:pPr>
              <w:jc w:val="both"/>
            </w:pPr>
            <w:r w:rsidRPr="00EE3156">
              <w:t>Последняя цифра зачетной книжки</w:t>
            </w:r>
          </w:p>
        </w:tc>
        <w:tc>
          <w:tcPr>
            <w:tcW w:w="839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3</w:t>
            </w:r>
          </w:p>
        </w:tc>
        <w:tc>
          <w:tcPr>
            <w:tcW w:w="839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6</w:t>
            </w:r>
          </w:p>
        </w:tc>
        <w:tc>
          <w:tcPr>
            <w:tcW w:w="862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0</w:t>
            </w:r>
          </w:p>
        </w:tc>
        <w:tc>
          <w:tcPr>
            <w:tcW w:w="840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9</w:t>
            </w:r>
          </w:p>
        </w:tc>
        <w:tc>
          <w:tcPr>
            <w:tcW w:w="841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8</w:t>
            </w:r>
          </w:p>
        </w:tc>
        <w:tc>
          <w:tcPr>
            <w:tcW w:w="841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4</w:t>
            </w:r>
          </w:p>
        </w:tc>
        <w:tc>
          <w:tcPr>
            <w:tcW w:w="863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EB12B0" w:rsidRPr="00EE3156" w:rsidRDefault="00EB12B0" w:rsidP="000A559E">
            <w:pPr>
              <w:jc w:val="center"/>
            </w:pPr>
            <w:r>
              <w:t>2</w:t>
            </w:r>
          </w:p>
        </w:tc>
      </w:tr>
    </w:tbl>
    <w:p w:rsidR="00EB12B0" w:rsidRPr="00EE3156" w:rsidRDefault="00EB12B0" w:rsidP="00EB1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0" w:rsidRDefault="00EB12B0" w:rsidP="00EB1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вариантам</w:t>
      </w:r>
    </w:p>
    <w:p w:rsidR="009F1740" w:rsidRDefault="009F1740" w:rsidP="00EB1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Концепция устойчивого развития бизнеса.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Подходы к управлению развитием организации.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Отрасль и компания - закономерности развития.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Влияние отрасли на системы управления компанией.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Этапы процесса управления устойчивым развитием предприятия.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Концепция устойчивого роста</w:t>
      </w:r>
      <w:r w:rsidR="009F1740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EB12B0">
        <w:rPr>
          <w:rFonts w:ascii="Times New Roman" w:hAnsi="Times New Roman" w:cs="Times New Roman"/>
          <w:sz w:val="24"/>
          <w:szCs w:val="24"/>
        </w:rPr>
        <w:t>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Финансовые стратегии, обеспечивающие устойчивое развитие бизнеса.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Выбор и обоснование направления развития бизнеса.</w:t>
      </w:r>
    </w:p>
    <w:p w:rsidR="00EB12B0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Управление бизнес-процессами для обеспечения устойчивого развития бизнеса.</w:t>
      </w:r>
    </w:p>
    <w:p w:rsidR="00B621C9" w:rsidRPr="00EB12B0" w:rsidRDefault="00EB12B0" w:rsidP="009F174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2B0">
        <w:rPr>
          <w:rFonts w:ascii="Times New Roman" w:hAnsi="Times New Roman" w:cs="Times New Roman"/>
          <w:sz w:val="24"/>
          <w:szCs w:val="24"/>
        </w:rPr>
        <w:t>Разработка системы управления развитием бизнеса компании.</w:t>
      </w:r>
    </w:p>
    <w:sectPr w:rsidR="00B621C9" w:rsidRPr="00EB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575"/>
    <w:multiLevelType w:val="hybridMultilevel"/>
    <w:tmpl w:val="1E96B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2B0"/>
    <w:rsid w:val="00235EDF"/>
    <w:rsid w:val="009F1740"/>
    <w:rsid w:val="00B621C9"/>
    <w:rsid w:val="00EB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2016-12-24T00:41:00Z</dcterms:created>
  <dcterms:modified xsi:type="dcterms:W3CDTF">2016-12-24T00:53:00Z</dcterms:modified>
</cp:coreProperties>
</file>