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E4" w:rsidRPr="00725C9D" w:rsidRDefault="00063DE4" w:rsidP="00063DE4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725C9D">
        <w:rPr>
          <w:b/>
          <w:sz w:val="28"/>
          <w:szCs w:val="28"/>
        </w:rPr>
        <w:t>МЕТОДИЧЕСКИЕ РЕКОМЕНДАЦИИ И ЗАДАНИЯ ПО ВЫПОЛНЕНИЮ КОНТРОЛЬНОЙ РАБОТЫ ПО ДИСЦИПЛИНЕ</w:t>
      </w:r>
    </w:p>
    <w:p w:rsidR="00063DE4" w:rsidRDefault="00063DE4" w:rsidP="00063DE4">
      <w:pPr>
        <w:pStyle w:val="a3"/>
        <w:spacing w:after="0"/>
        <w:ind w:left="284"/>
        <w:jc w:val="center"/>
        <w:rPr>
          <w:b/>
          <w:snapToGrid w:val="0"/>
          <w:sz w:val="28"/>
          <w:szCs w:val="28"/>
        </w:rPr>
      </w:pPr>
      <w:r w:rsidRPr="00725C9D">
        <w:rPr>
          <w:b/>
          <w:caps/>
          <w:snapToGrid w:val="0"/>
          <w:sz w:val="28"/>
          <w:szCs w:val="28"/>
        </w:rPr>
        <w:t>«</w:t>
      </w:r>
      <w:r w:rsidRPr="00AA00D0">
        <w:rPr>
          <w:b/>
          <w:snapToGrid w:val="0"/>
          <w:sz w:val="28"/>
          <w:szCs w:val="28"/>
        </w:rPr>
        <w:t xml:space="preserve">ИСТОРИЯ ГОСУДАРСТВА И ПРАВА </w:t>
      </w:r>
      <w:r w:rsidR="00090D4A">
        <w:rPr>
          <w:b/>
          <w:snapToGrid w:val="0"/>
          <w:sz w:val="28"/>
          <w:szCs w:val="28"/>
        </w:rPr>
        <w:t>РОССИИ</w:t>
      </w:r>
      <w:r w:rsidRPr="00725C9D">
        <w:rPr>
          <w:b/>
          <w:snapToGrid w:val="0"/>
          <w:sz w:val="28"/>
          <w:szCs w:val="28"/>
        </w:rPr>
        <w:t>»</w:t>
      </w:r>
    </w:p>
    <w:p w:rsidR="00063DE4" w:rsidRDefault="00063DE4" w:rsidP="00063DE4">
      <w:pPr>
        <w:pStyle w:val="a3"/>
        <w:spacing w:after="0"/>
        <w:ind w:left="284"/>
        <w:jc w:val="center"/>
        <w:rPr>
          <w:b/>
          <w:snapToGrid w:val="0"/>
          <w:sz w:val="28"/>
          <w:szCs w:val="28"/>
        </w:rPr>
      </w:pPr>
    </w:p>
    <w:p w:rsidR="00063DE4" w:rsidRDefault="00063DE4" w:rsidP="00063DE4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</w:t>
      </w:r>
    </w:p>
    <w:p w:rsidR="00063DE4" w:rsidRPr="00916DD2" w:rsidRDefault="00063DE4" w:rsidP="00063DE4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9"/>
        <w:gridCol w:w="3060"/>
        <w:gridCol w:w="2817"/>
      </w:tblGrid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ВАРИАНТ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Первая буква фамилии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Тема контрольной работы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А. Л. Х.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1. 11. 21. 31. 41..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Б. М. Ц.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2. 12. 22. 32. 42.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В. Н. Ч.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3. 13. 23. 33. 43.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Г. О. Ш.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4. 14. 24. 34. 44.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Д. П. Щ.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5. 15. 25. 35. 45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Е. Р. Э.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6. 16. 26. 36. 46.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Ж. С. Ю.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7. 17. 27. 37. 47.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З. Т. 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8. 18. 28. 38. 48. 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И.У.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9. 19. 29. 39. 49.</w:t>
            </w:r>
          </w:p>
        </w:tc>
      </w:tr>
      <w:tr w:rsidR="00063DE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К. Ф.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DE4" w:rsidRPr="00C21185" w:rsidRDefault="00063DE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10. 20. 30. 40. 50.</w:t>
            </w:r>
          </w:p>
        </w:tc>
      </w:tr>
    </w:tbl>
    <w:p w:rsidR="00063DE4" w:rsidRPr="004741D1" w:rsidRDefault="00063DE4" w:rsidP="00063DE4">
      <w:pPr>
        <w:ind w:left="360"/>
      </w:pPr>
    </w:p>
    <w:p w:rsidR="00063DE4" w:rsidRPr="00916DD2" w:rsidRDefault="00063DE4" w:rsidP="00063DE4">
      <w:pPr>
        <w:pStyle w:val="2"/>
        <w:widowControl w:val="0"/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916DD2">
        <w:rPr>
          <w:b/>
          <w:bCs/>
          <w:i/>
          <w:iCs/>
          <w:sz w:val="28"/>
          <w:szCs w:val="28"/>
          <w:u w:val="single"/>
        </w:rPr>
        <w:t>Требования к структуре и содержанию контрольной работы</w:t>
      </w:r>
    </w:p>
    <w:p w:rsidR="00063DE4" w:rsidRPr="00916DD2" w:rsidRDefault="00063DE4" w:rsidP="00063DE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>1.</w:t>
      </w:r>
      <w:r w:rsidRPr="00916DD2">
        <w:rPr>
          <w:b/>
          <w:bCs/>
          <w:sz w:val="28"/>
          <w:szCs w:val="28"/>
        </w:rPr>
        <w:t>Введение</w:t>
      </w:r>
      <w:r w:rsidRPr="00916DD2">
        <w:rPr>
          <w:sz w:val="28"/>
          <w:szCs w:val="28"/>
        </w:rPr>
        <w:t xml:space="preserve">, включающая актуальность темы, цель и задачи работы, краткий анализ использованных источников и литературы, </w:t>
      </w:r>
    </w:p>
    <w:p w:rsidR="00063DE4" w:rsidRPr="00916DD2" w:rsidRDefault="00063DE4" w:rsidP="00063DE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 xml:space="preserve">2. </w:t>
      </w:r>
      <w:r w:rsidRPr="00916DD2">
        <w:rPr>
          <w:b/>
          <w:bCs/>
          <w:sz w:val="28"/>
          <w:szCs w:val="28"/>
        </w:rPr>
        <w:t>Основной текст</w:t>
      </w:r>
      <w:r w:rsidRPr="00916DD2">
        <w:rPr>
          <w:sz w:val="28"/>
          <w:szCs w:val="28"/>
        </w:rPr>
        <w:t xml:space="preserve"> изложения (разделы, главы, параграфы), с краткими выводами по ходу изложения (обычно в конце параграфа, главы, раздела). </w:t>
      </w:r>
    </w:p>
    <w:p w:rsidR="00063DE4" w:rsidRPr="00916DD2" w:rsidRDefault="00063DE4" w:rsidP="00063DE4">
      <w:pPr>
        <w:pStyle w:val="2"/>
        <w:widowControl w:val="0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16DD2">
        <w:rPr>
          <w:sz w:val="28"/>
          <w:szCs w:val="28"/>
        </w:rPr>
        <w:t xml:space="preserve">В ходе изложения материала </w:t>
      </w:r>
      <w:r w:rsidRPr="00916DD2">
        <w:rPr>
          <w:b/>
          <w:bCs/>
          <w:sz w:val="28"/>
          <w:szCs w:val="28"/>
        </w:rPr>
        <w:t>обязательно делать сноски</w:t>
      </w:r>
      <w:r w:rsidRPr="00916DD2">
        <w:rPr>
          <w:sz w:val="28"/>
          <w:szCs w:val="28"/>
        </w:rPr>
        <w:t xml:space="preserve"> на источники информации. Сноски проставляются по ходу изложения тестового материала в квадратных скобках с указанием номера источника из Списка использованных источников, который представлен в конце работы и страницы (страниц) откуда берется фактический материал или авторская цитата. </w:t>
      </w:r>
      <w:r w:rsidRPr="00916DD2">
        <w:rPr>
          <w:b/>
          <w:sz w:val="28"/>
          <w:szCs w:val="28"/>
        </w:rPr>
        <w:t xml:space="preserve">Например: [15, </w:t>
      </w:r>
      <w:r w:rsidRPr="00916DD2">
        <w:rPr>
          <w:b/>
          <w:sz w:val="28"/>
          <w:szCs w:val="28"/>
          <w:lang w:val="en-US"/>
        </w:rPr>
        <w:t>c</w:t>
      </w:r>
      <w:r w:rsidRPr="00916DD2">
        <w:rPr>
          <w:b/>
          <w:sz w:val="28"/>
          <w:szCs w:val="28"/>
        </w:rPr>
        <w:t>.29]</w:t>
      </w:r>
      <w:r w:rsidRPr="00916DD2">
        <w:rPr>
          <w:sz w:val="28"/>
          <w:szCs w:val="28"/>
        </w:rPr>
        <w:t>.</w:t>
      </w:r>
    </w:p>
    <w:p w:rsidR="00063DE4" w:rsidRPr="00916DD2" w:rsidRDefault="00063DE4" w:rsidP="00063DE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 xml:space="preserve">3. </w:t>
      </w:r>
      <w:r w:rsidRPr="00916DD2">
        <w:rPr>
          <w:b/>
          <w:bCs/>
          <w:sz w:val="28"/>
          <w:szCs w:val="28"/>
        </w:rPr>
        <w:t>Заключение</w:t>
      </w:r>
      <w:r w:rsidRPr="00916DD2">
        <w:rPr>
          <w:sz w:val="28"/>
          <w:szCs w:val="28"/>
        </w:rPr>
        <w:t>, в котором следует представить обобщения по содержанию курсовой работы, исходя из цели, задач и выводов содержания.</w:t>
      </w:r>
    </w:p>
    <w:p w:rsidR="00063DE4" w:rsidRPr="00916DD2" w:rsidRDefault="00063DE4" w:rsidP="00063DE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 xml:space="preserve">При разработке темы контрольной работы следует использовать материалы учебников и учебных пособий по курсу История государства и </w:t>
      </w:r>
      <w:r w:rsidRPr="00916DD2">
        <w:rPr>
          <w:sz w:val="28"/>
          <w:szCs w:val="28"/>
        </w:rPr>
        <w:lastRenderedPageBreak/>
        <w:t xml:space="preserve">права зарубежных стран, дополняя их при необходимости сведениями </w:t>
      </w:r>
      <w:proofErr w:type="gramStart"/>
      <w:r w:rsidRPr="00916DD2">
        <w:rPr>
          <w:sz w:val="28"/>
          <w:szCs w:val="28"/>
        </w:rPr>
        <w:t>из</w:t>
      </w:r>
      <w:proofErr w:type="gramEnd"/>
      <w:r w:rsidRPr="00916DD2">
        <w:rPr>
          <w:sz w:val="28"/>
          <w:szCs w:val="28"/>
        </w:rPr>
        <w:t xml:space="preserve"> смежных юридических. Кроме того, необходимо использовать статьи из периодических изданий, а также монографические работы по исследуемой проблеме. Все использованные в курсовой работе источники и литературу необходимо представить в библиографическом списке, при этом обратить внимание на его правильное оформление </w:t>
      </w:r>
      <w:r w:rsidRPr="00916DD2">
        <w:rPr>
          <w:b/>
          <w:bCs/>
          <w:sz w:val="28"/>
          <w:szCs w:val="28"/>
        </w:rPr>
        <w:t>(подробную информацию по оформлению контрольной работы можно получить в методических указаниях по письменным работам, представленных в библиотеке или на т-сервере филиала)</w:t>
      </w:r>
      <w:r w:rsidRPr="00916DD2">
        <w:rPr>
          <w:sz w:val="28"/>
          <w:szCs w:val="28"/>
        </w:rPr>
        <w:t xml:space="preserve">.  </w:t>
      </w:r>
    </w:p>
    <w:p w:rsidR="00063DE4" w:rsidRPr="00916DD2" w:rsidRDefault="00063DE4" w:rsidP="00063DE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ab/>
        <w:t>Объем контрольной работы устанавливается</w:t>
      </w:r>
      <w:r w:rsidRPr="00916DD2">
        <w:rPr>
          <w:rFonts w:ascii="Arial" w:hAnsi="Arial" w:cs="Arial"/>
          <w:sz w:val="28"/>
          <w:szCs w:val="28"/>
        </w:rPr>
        <w:t xml:space="preserve"> </w:t>
      </w:r>
      <w:r w:rsidRPr="00916DD2">
        <w:rPr>
          <w:sz w:val="28"/>
          <w:szCs w:val="28"/>
        </w:rPr>
        <w:t xml:space="preserve">в пределах </w:t>
      </w:r>
      <w:r w:rsidRPr="00916DD2">
        <w:rPr>
          <w:b/>
          <w:bCs/>
          <w:sz w:val="28"/>
          <w:szCs w:val="28"/>
        </w:rPr>
        <w:t xml:space="preserve">25 страниц </w:t>
      </w:r>
      <w:r w:rsidRPr="00916DD2">
        <w:rPr>
          <w:sz w:val="28"/>
          <w:szCs w:val="28"/>
        </w:rPr>
        <w:t xml:space="preserve">машинописного текста. </w:t>
      </w:r>
    </w:p>
    <w:p w:rsidR="00063DE4" w:rsidRPr="00916DD2" w:rsidRDefault="00063DE4" w:rsidP="00063DE4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16DD2">
        <w:rPr>
          <w:b/>
          <w:bCs/>
          <w:sz w:val="28"/>
          <w:szCs w:val="28"/>
        </w:rPr>
        <w:t>Темы контрольных работ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tabs>
          <w:tab w:val="num" w:pos="540"/>
        </w:tabs>
        <w:jc w:val="both"/>
        <w:rPr>
          <w:sz w:val="28"/>
          <w:szCs w:val="28"/>
        </w:rPr>
      </w:pPr>
      <w:r w:rsidRPr="00063DE4">
        <w:rPr>
          <w:sz w:val="28"/>
          <w:szCs w:val="28"/>
        </w:rPr>
        <w:t>Возникновение государственности у восточных славян.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tabs>
          <w:tab w:val="num" w:pos="540"/>
        </w:tabs>
        <w:jc w:val="both"/>
        <w:rPr>
          <w:sz w:val="28"/>
          <w:szCs w:val="28"/>
        </w:rPr>
      </w:pPr>
      <w:r w:rsidRPr="00063DE4">
        <w:rPr>
          <w:sz w:val="28"/>
          <w:szCs w:val="28"/>
        </w:rPr>
        <w:t>Образование Киевской Руси.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>Деятельность первых русских князей.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tabs>
          <w:tab w:val="num" w:pos="540"/>
        </w:tabs>
        <w:jc w:val="both"/>
        <w:rPr>
          <w:sz w:val="28"/>
          <w:szCs w:val="28"/>
        </w:rPr>
      </w:pPr>
      <w:r w:rsidRPr="00063DE4">
        <w:rPr>
          <w:sz w:val="28"/>
          <w:szCs w:val="28"/>
        </w:rPr>
        <w:t>Принятие христианства и историческое значение этого события.</w:t>
      </w:r>
    </w:p>
    <w:p w:rsidR="009E1440" w:rsidRPr="00063DE4" w:rsidRDefault="009E1440" w:rsidP="009E1440">
      <w:pPr>
        <w:keepNext/>
        <w:widowControl w:val="0"/>
        <w:numPr>
          <w:ilvl w:val="0"/>
          <w:numId w:val="1"/>
        </w:numPr>
        <w:jc w:val="both"/>
        <w:outlineLvl w:val="1"/>
        <w:rPr>
          <w:bCs/>
          <w:iCs/>
          <w:sz w:val="28"/>
          <w:szCs w:val="28"/>
        </w:rPr>
      </w:pPr>
      <w:r w:rsidRPr="00063DE4">
        <w:rPr>
          <w:bCs/>
          <w:iCs/>
          <w:sz w:val="28"/>
          <w:szCs w:val="28"/>
        </w:rPr>
        <w:t>Киевская Русь как раннефеодальная монархия: государственный и общественный строй.</w:t>
      </w:r>
    </w:p>
    <w:p w:rsidR="009E1440" w:rsidRPr="009E1440" w:rsidRDefault="009E1440" w:rsidP="009E1440">
      <w:pPr>
        <w:widowControl w:val="0"/>
        <w:numPr>
          <w:ilvl w:val="0"/>
          <w:numId w:val="1"/>
        </w:numPr>
        <w:jc w:val="both"/>
      </w:pPr>
      <w:r w:rsidRPr="00063DE4">
        <w:rPr>
          <w:sz w:val="28"/>
          <w:szCs w:val="28"/>
        </w:rPr>
        <w:t>Становление древнерусского права. Источники права.</w:t>
      </w:r>
    </w:p>
    <w:p w:rsidR="009E1440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63DE4">
        <w:rPr>
          <w:sz w:val="28"/>
          <w:szCs w:val="28"/>
        </w:rPr>
        <w:t>Русская</w:t>
      </w:r>
      <w:proofErr w:type="gramEnd"/>
      <w:r w:rsidRPr="00063DE4">
        <w:rPr>
          <w:sz w:val="28"/>
          <w:szCs w:val="28"/>
        </w:rPr>
        <w:t xml:space="preserve"> Правда – памятник феодального права.</w:t>
      </w:r>
    </w:p>
    <w:p w:rsidR="009E1440" w:rsidRPr="00063DE4" w:rsidRDefault="009E1440" w:rsidP="009E1440">
      <w:pPr>
        <w:keepNext/>
        <w:widowControl w:val="0"/>
        <w:numPr>
          <w:ilvl w:val="0"/>
          <w:numId w:val="1"/>
        </w:numPr>
        <w:jc w:val="both"/>
        <w:outlineLvl w:val="1"/>
        <w:rPr>
          <w:bCs/>
          <w:iCs/>
          <w:sz w:val="28"/>
          <w:szCs w:val="28"/>
        </w:rPr>
      </w:pPr>
      <w:r w:rsidRPr="00063DE4">
        <w:rPr>
          <w:rFonts w:ascii="Cambria" w:hAnsi="Cambria"/>
          <w:bCs/>
          <w:iCs/>
          <w:sz w:val="28"/>
          <w:szCs w:val="28"/>
        </w:rPr>
        <w:t>Налоги в Древней Руси.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tabs>
          <w:tab w:val="num" w:pos="540"/>
        </w:tabs>
        <w:jc w:val="both"/>
        <w:rPr>
          <w:sz w:val="28"/>
          <w:szCs w:val="28"/>
        </w:rPr>
      </w:pPr>
      <w:r w:rsidRPr="00063DE4">
        <w:rPr>
          <w:sz w:val="28"/>
          <w:szCs w:val="28"/>
        </w:rPr>
        <w:t>Причины феодальной раздробленности на Руси.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>Государственный строй и право русских удельных княжеств в период</w:t>
      </w:r>
    </w:p>
    <w:p w:rsidR="009E1440" w:rsidRPr="00063DE4" w:rsidRDefault="00063DE4" w:rsidP="00063DE4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феодальной раздробленности (на примере </w:t>
      </w:r>
      <w:proofErr w:type="gramStart"/>
      <w:r w:rsidRPr="00063DE4">
        <w:rPr>
          <w:rFonts w:ascii="TimesNewRomanPSMT" w:hAnsi="TimesNewRomanPSMT" w:cs="TimesNewRomanPSMT"/>
          <w:sz w:val="28"/>
          <w:szCs w:val="28"/>
        </w:rPr>
        <w:t>Ростово-Суздальского</w:t>
      </w:r>
      <w:proofErr w:type="gramEnd"/>
      <w:r w:rsidRPr="00063DE4">
        <w:rPr>
          <w:rFonts w:ascii="TimesNewRomanPSMT" w:hAnsi="TimesNewRomanPSMT" w:cs="TimesNewRomanPSMT"/>
          <w:sz w:val="28"/>
          <w:szCs w:val="28"/>
        </w:rPr>
        <w:t xml:space="preserve"> или Галицко-Волынского княжеств).</w:t>
      </w:r>
    </w:p>
    <w:p w:rsidR="00063DE4" w:rsidRPr="009E1440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>Золотая Орда как военно-феодальное государство.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>Эволюция социально-правовых институтов и государственных</w:t>
      </w:r>
      <w:r w:rsidRPr="00063DE4">
        <w:rPr>
          <w:rFonts w:ascii="TimesNewRomanPSMT" w:hAnsi="TimesNewRomanPSMT" w:cs="TimesNewRomanPSMT"/>
          <w:sz w:val="28"/>
          <w:szCs w:val="28"/>
        </w:rPr>
        <w:t xml:space="preserve"> органов Новгородской феодальной республики (XII</w:t>
      </w:r>
      <w:r w:rsidRPr="00063DE4">
        <w:rPr>
          <w:sz w:val="28"/>
          <w:szCs w:val="28"/>
        </w:rPr>
        <w:t xml:space="preserve"> –</w:t>
      </w:r>
      <w:r w:rsidRPr="00063DE4">
        <w:rPr>
          <w:rFonts w:ascii="TimesNewRomanPSMT" w:hAnsi="TimesNewRomanPSMT" w:cs="TimesNewRomanPSMT"/>
          <w:sz w:val="28"/>
          <w:szCs w:val="28"/>
        </w:rPr>
        <w:t xml:space="preserve"> XV вв.).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tabs>
          <w:tab w:val="num" w:pos="540"/>
        </w:tabs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Псковская Судная грамота </w:t>
      </w:r>
      <w:smartTag w:uri="urn:schemas-microsoft-com:office:smarttags" w:element="metricconverter">
        <w:smartTagPr>
          <w:attr w:name="ProductID" w:val="1467 г"/>
        </w:smartTagPr>
        <w:r w:rsidRPr="00063DE4">
          <w:rPr>
            <w:sz w:val="28"/>
            <w:szCs w:val="28"/>
          </w:rPr>
          <w:t>1467 г</w:t>
        </w:r>
      </w:smartTag>
      <w:r w:rsidRPr="00063DE4">
        <w:rPr>
          <w:sz w:val="28"/>
          <w:szCs w:val="28"/>
        </w:rPr>
        <w:t>.  – памятник феодального права.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Статут Великого княжества Литовского (Литовский статут) 1529 года  </w:t>
      </w:r>
    </w:p>
    <w:p w:rsidR="00063DE4" w:rsidRPr="00063DE4" w:rsidRDefault="00063DE4" w:rsidP="00063DE4">
      <w:pPr>
        <w:ind w:left="360" w:firstLine="348"/>
        <w:jc w:val="both"/>
        <w:rPr>
          <w:rFonts w:ascii="TimesNewRomanPSMT" w:hAnsi="TimesNewRomanPSMT" w:cs="TimesNewRomanPSMT"/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>кодификация феодальных правовых норм.</w:t>
      </w:r>
    </w:p>
    <w:p w:rsidR="00063DE4" w:rsidRPr="009E1440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Система феодального права по общерусским судебникам XV–XVI вв.</w:t>
      </w:r>
    </w:p>
    <w:p w:rsidR="00063DE4" w:rsidRDefault="00063DE4" w:rsidP="00063DE4">
      <w:pPr>
        <w:widowControl w:val="0"/>
        <w:numPr>
          <w:ilvl w:val="0"/>
          <w:numId w:val="1"/>
        </w:numPr>
        <w:tabs>
          <w:tab w:val="num" w:pos="540"/>
        </w:tabs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Реформы Ивана Грозного и их значение для государства.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063DE4">
        <w:rPr>
          <w:sz w:val="28"/>
          <w:szCs w:val="28"/>
        </w:rPr>
        <w:t>Сословно-представительная монархия на Руси.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063DE4">
        <w:rPr>
          <w:sz w:val="28"/>
          <w:szCs w:val="28"/>
        </w:rPr>
        <w:t xml:space="preserve"> Земские соборы: история возникновения, состав, права и значение.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rFonts w:ascii="TimesNewRomanPSMT" w:hAnsi="TimesNewRomanPSMT" w:cs="TimesNewRomanPSMT"/>
          <w:sz w:val="28"/>
          <w:szCs w:val="28"/>
        </w:rPr>
      </w:pPr>
      <w:r w:rsidRPr="00063DE4">
        <w:rPr>
          <w:sz w:val="28"/>
          <w:szCs w:val="28"/>
        </w:rPr>
        <w:t xml:space="preserve"> Судебники </w:t>
      </w:r>
      <w:r w:rsidRPr="00063DE4">
        <w:rPr>
          <w:rFonts w:ascii="TimesNewRomanPSMT" w:hAnsi="TimesNewRomanPSMT" w:cs="TimesNewRomanPSMT"/>
          <w:sz w:val="28"/>
          <w:szCs w:val="28"/>
        </w:rPr>
        <w:t>XV</w:t>
      </w:r>
      <w:r w:rsidRPr="00063DE4">
        <w:rPr>
          <w:sz w:val="28"/>
          <w:szCs w:val="28"/>
        </w:rPr>
        <w:t xml:space="preserve"> –</w:t>
      </w:r>
      <w:r w:rsidRPr="00063DE4">
        <w:rPr>
          <w:rFonts w:ascii="TimesNewRomanPSMT" w:hAnsi="TimesNewRomanPSMT" w:cs="TimesNewRomanPSMT"/>
          <w:sz w:val="28"/>
          <w:szCs w:val="28"/>
        </w:rPr>
        <w:t xml:space="preserve"> XVI </w:t>
      </w:r>
      <w:r w:rsidRPr="00063DE4">
        <w:rPr>
          <w:sz w:val="28"/>
          <w:szCs w:val="28"/>
        </w:rPr>
        <w:t>вв., как памятники феодального права.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63DE4">
        <w:rPr>
          <w:color w:val="000000"/>
          <w:sz w:val="28"/>
          <w:szCs w:val="28"/>
        </w:rPr>
        <w:t>Развитие права в период сословно-представительной монархии.</w:t>
      </w:r>
    </w:p>
    <w:p w:rsidR="00063DE4" w:rsidRPr="009E1440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063DE4">
        <w:rPr>
          <w:rFonts w:ascii="TimesNewRomanPSMT" w:hAnsi="TimesNewRomanPSMT" w:cs="TimesNewRomanPSMT"/>
          <w:sz w:val="28"/>
          <w:szCs w:val="28"/>
        </w:rPr>
        <w:t>Соборное</w:t>
      </w:r>
      <w:proofErr w:type="gramEnd"/>
      <w:r w:rsidRPr="00063DE4">
        <w:rPr>
          <w:rFonts w:ascii="TimesNewRomanPSMT" w:hAnsi="TimesNewRomanPSMT" w:cs="TimesNewRomanPSMT"/>
          <w:sz w:val="28"/>
          <w:szCs w:val="28"/>
        </w:rPr>
        <w:t xml:space="preserve"> Уложении</w:t>
      </w:r>
      <w:r w:rsidRPr="00063DE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49 г"/>
        </w:smartTagPr>
        <w:r w:rsidRPr="00063DE4">
          <w:rPr>
            <w:rFonts w:ascii="TimesNewRomanPSMT" w:hAnsi="TimesNewRomanPSMT" w:cs="TimesNewRomanPSMT"/>
            <w:sz w:val="28"/>
            <w:szCs w:val="28"/>
          </w:rPr>
          <w:t>1649 г</w:t>
        </w:r>
      </w:smartTag>
      <w:r w:rsidRPr="00063DE4">
        <w:rPr>
          <w:rFonts w:ascii="TimesNewRomanPSMT" w:hAnsi="TimesNewRomanPSMT" w:cs="TimesNewRomanPSMT"/>
          <w:sz w:val="28"/>
          <w:szCs w:val="28"/>
        </w:rPr>
        <w:t xml:space="preserve">. как источник феодального права </w:t>
      </w:r>
    </w:p>
    <w:p w:rsidR="009E1440" w:rsidRPr="009E1440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>Систематизация гражданско-правовых норм в Соборном Уложении</w:t>
      </w:r>
    </w:p>
    <w:p w:rsidR="009E1440" w:rsidRDefault="009E1440" w:rsidP="009E1440">
      <w:pPr>
        <w:widowControl w:val="0"/>
        <w:ind w:left="720"/>
        <w:jc w:val="both"/>
        <w:rPr>
          <w:bCs/>
          <w:iCs/>
          <w:sz w:val="28"/>
          <w:szCs w:val="28"/>
        </w:rPr>
      </w:pPr>
      <w:r w:rsidRPr="00063DE4">
        <w:rPr>
          <w:bCs/>
          <w:iCs/>
          <w:sz w:val="28"/>
          <w:szCs w:val="28"/>
        </w:rPr>
        <w:lastRenderedPageBreak/>
        <w:t>1649 г.: вещное, обязательственное, наследственное право</w:t>
      </w:r>
    </w:p>
    <w:p w:rsidR="00C8248A" w:rsidRPr="00063DE4" w:rsidRDefault="00063DE4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</w:t>
      </w:r>
      <w:r w:rsidR="00C8248A" w:rsidRPr="00063DE4">
        <w:rPr>
          <w:sz w:val="28"/>
          <w:szCs w:val="28"/>
        </w:rPr>
        <w:t>Крепостное право в России: причины, периодизация, сущность, последствия и значение.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>Становление и развитие абсолютной монархии в России.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Реформы Петра Первого и их влияние на развитие Российского государства.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>Губернские реформы XVIII века: цели, институты, значение.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Особенности государственного управления в Сибири в XVI - начале </w:t>
      </w:r>
      <w:r w:rsidRPr="00063DE4">
        <w:rPr>
          <w:sz w:val="28"/>
          <w:szCs w:val="28"/>
          <w:lang w:val="en-US"/>
        </w:rPr>
        <w:t>XX</w:t>
      </w:r>
      <w:proofErr w:type="gramStart"/>
      <w:r w:rsidRPr="00063DE4">
        <w:rPr>
          <w:sz w:val="28"/>
          <w:szCs w:val="28"/>
        </w:rPr>
        <w:t>в</w:t>
      </w:r>
      <w:proofErr w:type="gramEnd"/>
      <w:r w:rsidRPr="00063DE4">
        <w:t>.</w:t>
      </w:r>
    </w:p>
    <w:p w:rsidR="00063DE4" w:rsidRPr="009E1440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Судебные реформы XVIII века: содержание и значение.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Система местного самоуправления в России. </w:t>
      </w:r>
      <w:r w:rsidRPr="00063DE4">
        <w:rPr>
          <w:sz w:val="28"/>
          <w:szCs w:val="28"/>
          <w:lang w:val="en-US"/>
        </w:rPr>
        <w:t>XVIII</w:t>
      </w:r>
      <w:r w:rsidRPr="00063DE4">
        <w:rPr>
          <w:sz w:val="28"/>
          <w:szCs w:val="28"/>
        </w:rPr>
        <w:t>-</w:t>
      </w:r>
      <w:r w:rsidRPr="00063DE4">
        <w:rPr>
          <w:sz w:val="28"/>
          <w:szCs w:val="28"/>
          <w:lang w:val="en-US"/>
        </w:rPr>
        <w:t>XIX</w:t>
      </w:r>
      <w:r w:rsidRPr="00063DE4">
        <w:rPr>
          <w:sz w:val="28"/>
          <w:szCs w:val="28"/>
        </w:rPr>
        <w:t>вв.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rFonts w:ascii="TimesNewRomanPSMT" w:hAnsi="TimesNewRomanPSMT" w:cs="TimesNewRomanPSMT"/>
          <w:sz w:val="28"/>
          <w:szCs w:val="28"/>
        </w:rPr>
        <w:t>Основные этапы развития российской прокуратуры (XVIII – XX вв.).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Развитие института наказания в российском праве в X – XVII (XVIII – XX вв.): цели, виды, организация исполнения.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rFonts w:ascii="TimesNewRomanPSMT" w:hAnsi="TimesNewRomanPSMT" w:cs="TimesNewRomanPSMT"/>
          <w:sz w:val="28"/>
          <w:szCs w:val="28"/>
        </w:rPr>
        <w:t>Регулирование отношений наследования в российском праве в X – XVII</w:t>
      </w:r>
      <w:r w:rsidRPr="00063DE4">
        <w:t xml:space="preserve"> </w:t>
      </w:r>
      <w:r w:rsidRPr="00063DE4">
        <w:rPr>
          <w:rFonts w:ascii="TimesNewRomanPSMT" w:hAnsi="TimesNewRomanPSMT" w:cs="TimesNewRomanPSMT"/>
          <w:sz w:val="28"/>
          <w:szCs w:val="28"/>
        </w:rPr>
        <w:t>(XVIII – XX) вв. основные этапы.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Эволюция институтов российского семейного права (брак, развод,</w:t>
      </w:r>
      <w:r w:rsidRPr="00063DE4">
        <w:t xml:space="preserve"> </w:t>
      </w:r>
      <w:r w:rsidRPr="00063DE4">
        <w:rPr>
          <w:rFonts w:ascii="TimesNewRomanPSMT" w:hAnsi="TimesNewRomanPSMT" w:cs="TimesNewRomanPSMT"/>
          <w:sz w:val="28"/>
          <w:szCs w:val="28"/>
        </w:rPr>
        <w:t>усыновление, опека) в X – XVII (XVIII – XX) вв.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Изменение правового положения сословий Российской империи в ходе реформ первой четверти XVIII в.: дворянство, духовенство, горожане, крестьяне.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63DE4">
        <w:rPr>
          <w:color w:val="000000"/>
          <w:sz w:val="28"/>
          <w:szCs w:val="28"/>
        </w:rPr>
        <w:t xml:space="preserve"> Артикул Воинский </w:t>
      </w:r>
      <w:smartTag w:uri="urn:schemas-microsoft-com:office:smarttags" w:element="metricconverter">
        <w:smartTagPr>
          <w:attr w:name="ProductID" w:val="1715 г"/>
        </w:smartTagPr>
        <w:r w:rsidRPr="00063DE4">
          <w:rPr>
            <w:color w:val="000000"/>
            <w:sz w:val="28"/>
            <w:szCs w:val="28"/>
          </w:rPr>
          <w:t>1715 г</w:t>
        </w:r>
      </w:smartTag>
      <w:r w:rsidRPr="00063DE4">
        <w:rPr>
          <w:color w:val="000000"/>
          <w:sz w:val="28"/>
          <w:szCs w:val="28"/>
        </w:rPr>
        <w:t>. и его уголовно-правовое значение.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063DE4">
        <w:rPr>
          <w:color w:val="000000"/>
          <w:sz w:val="28"/>
          <w:szCs w:val="28"/>
        </w:rPr>
        <w:t xml:space="preserve"> Кодификация права Российской империи в первой половине </w:t>
      </w:r>
      <w:r w:rsidRPr="00063DE4">
        <w:rPr>
          <w:rFonts w:ascii="TimesNewRomanPSMT" w:hAnsi="TimesNewRomanPSMT" w:cs="TimesNewRomanPSMT"/>
          <w:sz w:val="28"/>
          <w:szCs w:val="28"/>
        </w:rPr>
        <w:t>XI</w:t>
      </w:r>
      <w:proofErr w:type="gramStart"/>
      <w:r w:rsidRPr="00063DE4">
        <w:rPr>
          <w:rFonts w:ascii="TimesNewRomanPSMT" w:hAnsi="TimesNewRomanPSMT" w:cs="TimesNewRomanPSMT"/>
          <w:sz w:val="28"/>
          <w:szCs w:val="28"/>
        </w:rPr>
        <w:t>Х</w:t>
      </w:r>
      <w:proofErr w:type="gramEnd"/>
      <w:r w:rsidRPr="00063DE4">
        <w:rPr>
          <w:color w:val="000000"/>
          <w:sz w:val="28"/>
          <w:szCs w:val="28"/>
        </w:rPr>
        <w:t xml:space="preserve"> в.  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Государственные органы управления</w:t>
      </w:r>
      <w:r w:rsidRPr="00063DE4">
        <w:rPr>
          <w:sz w:val="28"/>
          <w:szCs w:val="28"/>
        </w:rPr>
        <w:t xml:space="preserve"> </w:t>
      </w:r>
      <w:r w:rsidRPr="00063DE4">
        <w:rPr>
          <w:rFonts w:ascii="TimesNewRomanPSMT" w:hAnsi="TimesNewRomanPSMT" w:cs="TimesNewRomanPSMT"/>
          <w:sz w:val="28"/>
          <w:szCs w:val="28"/>
        </w:rPr>
        <w:t>в Российской империи первой половине XIX в.: система и статус.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Государственный совет Российской империи (1802 – 1917 гг.) как правовой институт.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Собственная Его Императорского Величества канцелярия (1826 –</w:t>
      </w:r>
      <w:r w:rsidRPr="00063DE4">
        <w:rPr>
          <w:sz w:val="28"/>
          <w:szCs w:val="28"/>
        </w:rPr>
        <w:t xml:space="preserve"> </w:t>
      </w:r>
      <w:r w:rsidRPr="00063DE4">
        <w:rPr>
          <w:rFonts w:ascii="TimesNewRomanPSMT" w:hAnsi="TimesNewRomanPSMT" w:cs="TimesNewRomanPSMT"/>
          <w:sz w:val="28"/>
          <w:szCs w:val="28"/>
        </w:rPr>
        <w:t>1917 гг.) в системе государственной власти Российской империи.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Комитет министров (1802-1906 гг.): правовой статус и значение.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</w:t>
      </w:r>
      <w:r w:rsidRPr="00063DE4">
        <w:rPr>
          <w:rFonts w:ascii="TimesNewRomanPSMT" w:hAnsi="TimesNewRomanPSMT" w:cs="TimesNewRomanPSMT"/>
          <w:sz w:val="28"/>
          <w:szCs w:val="28"/>
        </w:rPr>
        <w:t>Сенат в истории российского государства (1711–1917 гг.): институциональный анализ.</w:t>
      </w:r>
      <w:r w:rsidRPr="00063DE4">
        <w:rPr>
          <w:sz w:val="28"/>
          <w:szCs w:val="28"/>
        </w:rPr>
        <w:t xml:space="preserve"> 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Государственно-правовая концепция М. М. Сперанского.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Судебная реформа 1864 года: цели, нормативные основы, судебно-процессуальные институты.</w:t>
      </w:r>
    </w:p>
    <w:p w:rsid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Манифест   от 17   октября   </w:t>
      </w:r>
      <w:smartTag w:uri="urn:schemas-microsoft-com:office:smarttags" w:element="metricconverter">
        <w:smartTagPr>
          <w:attr w:name="ProductID" w:val="1905 г"/>
        </w:smartTagPr>
        <w:r w:rsidRPr="00063DE4">
          <w:rPr>
            <w:sz w:val="28"/>
            <w:szCs w:val="28"/>
          </w:rPr>
          <w:t>1905 г</w:t>
        </w:r>
      </w:smartTag>
      <w:r w:rsidRPr="00063DE4">
        <w:rPr>
          <w:sz w:val="28"/>
          <w:szCs w:val="28"/>
        </w:rPr>
        <w:t>. и   его   влияние  на политическую жизнь российского государства.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Политические партии  России на рубеже </w:t>
      </w:r>
      <w:r w:rsidRPr="00063DE4">
        <w:rPr>
          <w:rFonts w:ascii="TimesNewRomanPSMT" w:hAnsi="TimesNewRomanPSMT" w:cs="TimesNewRomanPSMT"/>
          <w:sz w:val="28"/>
          <w:szCs w:val="28"/>
        </w:rPr>
        <w:t>XIX – XX</w:t>
      </w:r>
      <w:r w:rsidRPr="00063DE4">
        <w:rPr>
          <w:sz w:val="28"/>
          <w:szCs w:val="28"/>
        </w:rPr>
        <w:t xml:space="preserve"> вв.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Государственная дума Российской империи: статус, порядок формирования, организация работы.</w:t>
      </w:r>
    </w:p>
    <w:p w:rsidR="00063DE4" w:rsidRPr="00063DE4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Государственный строй России в период деятельности Временного правительства (февраль – октябрь </w:t>
      </w:r>
      <w:smartTag w:uri="urn:schemas-microsoft-com:office:smarttags" w:element="metricconverter">
        <w:smartTagPr>
          <w:attr w:name="ProductID" w:val="1917 г"/>
        </w:smartTagPr>
        <w:r w:rsidRPr="00063DE4">
          <w:rPr>
            <w:rFonts w:ascii="TimesNewRomanPSMT" w:hAnsi="TimesNewRomanPSMT" w:cs="TimesNewRomanPSMT"/>
            <w:sz w:val="28"/>
            <w:szCs w:val="28"/>
          </w:rPr>
          <w:t>1917 г</w:t>
        </w:r>
      </w:smartTag>
      <w:r w:rsidRPr="00063DE4">
        <w:rPr>
          <w:rFonts w:ascii="TimesNewRomanPSMT" w:hAnsi="TimesNewRomanPSMT" w:cs="TimesNewRomanPSMT"/>
          <w:sz w:val="28"/>
          <w:szCs w:val="28"/>
        </w:rPr>
        <w:t>.)</w:t>
      </w:r>
    </w:p>
    <w:p w:rsidR="00063DE4" w:rsidRPr="00C8248A" w:rsidRDefault="00063DE4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Государственный строй советского государства (октябрь 1917–1918 гг.).</w:t>
      </w:r>
    </w:p>
    <w:p w:rsidR="00C8248A" w:rsidRDefault="00C8248A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Процесс образования союзного советского государства </w:t>
      </w:r>
      <w:proofErr w:type="gramStart"/>
      <w:r w:rsidRPr="00063DE4">
        <w:rPr>
          <w:sz w:val="28"/>
          <w:szCs w:val="28"/>
        </w:rPr>
        <w:t>в начале</w:t>
      </w:r>
      <w:proofErr w:type="gramEnd"/>
      <w:r w:rsidRPr="00063DE4">
        <w:rPr>
          <w:sz w:val="28"/>
          <w:szCs w:val="28"/>
        </w:rPr>
        <w:t xml:space="preserve"> 1920-х </w:t>
      </w:r>
      <w:r w:rsidRPr="00063DE4">
        <w:rPr>
          <w:sz w:val="28"/>
          <w:szCs w:val="28"/>
        </w:rPr>
        <w:lastRenderedPageBreak/>
        <w:t>гг.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sz w:val="28"/>
          <w:szCs w:val="28"/>
        </w:rPr>
        <w:t>Реформы периода «перестройки» и их влияние на общественно-политические отношения.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063DE4">
          <w:rPr>
            <w:rFonts w:ascii="TimesNewRomanPSMT" w:hAnsi="TimesNewRomanPSMT" w:cs="TimesNewRomanPSMT"/>
            <w:sz w:val="28"/>
            <w:szCs w:val="28"/>
          </w:rPr>
          <w:t>1918 г</w:t>
        </w:r>
      </w:smartTag>
      <w:r w:rsidRPr="00063DE4">
        <w:rPr>
          <w:rFonts w:ascii="TimesNewRomanPSMT" w:hAnsi="TimesNewRomanPSMT" w:cs="TimesNewRomanPSMT"/>
          <w:sz w:val="28"/>
          <w:szCs w:val="28"/>
        </w:rPr>
        <w:t>.: разработка, содержание и значение.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Конституция СССР </w:t>
      </w:r>
      <w:smartTag w:uri="urn:schemas-microsoft-com:office:smarttags" w:element="metricconverter">
        <w:smartTagPr>
          <w:attr w:name="ProductID" w:val="1924 г"/>
        </w:smartTagPr>
        <w:r w:rsidRPr="00063DE4">
          <w:rPr>
            <w:rFonts w:ascii="TimesNewRomanPSMT" w:hAnsi="TimesNewRomanPSMT" w:cs="TimesNewRomanPSMT"/>
            <w:sz w:val="28"/>
            <w:szCs w:val="28"/>
          </w:rPr>
          <w:t>1924 г</w:t>
        </w:r>
      </w:smartTag>
      <w:r w:rsidRPr="00063DE4">
        <w:rPr>
          <w:rFonts w:ascii="TimesNewRomanPSMT" w:hAnsi="TimesNewRomanPSMT" w:cs="TimesNewRomanPSMT"/>
          <w:sz w:val="28"/>
          <w:szCs w:val="28"/>
        </w:rPr>
        <w:t>.: разработка, структура, содержание, значение.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Конституция СССР </w:t>
      </w:r>
      <w:smartTag w:uri="urn:schemas-microsoft-com:office:smarttags" w:element="metricconverter">
        <w:smartTagPr>
          <w:attr w:name="ProductID" w:val="1936 г"/>
        </w:smartTagPr>
        <w:r w:rsidRPr="00063DE4">
          <w:rPr>
            <w:rFonts w:ascii="TimesNewRomanPSMT" w:hAnsi="TimesNewRomanPSMT" w:cs="TimesNewRomanPSMT"/>
            <w:sz w:val="28"/>
            <w:szCs w:val="28"/>
          </w:rPr>
          <w:t>1936 г</w:t>
        </w:r>
      </w:smartTag>
      <w:r w:rsidRPr="00063DE4">
        <w:rPr>
          <w:rFonts w:ascii="TimesNewRomanPSMT" w:hAnsi="TimesNewRomanPSMT" w:cs="TimesNewRomanPSMT"/>
          <w:sz w:val="28"/>
          <w:szCs w:val="28"/>
        </w:rPr>
        <w:t>.: разработка, структура, содержание, историко-правовая оценка.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 Конституция СССР </w:t>
      </w:r>
      <w:smartTag w:uri="urn:schemas-microsoft-com:office:smarttags" w:element="metricconverter">
        <w:smartTagPr>
          <w:attr w:name="ProductID" w:val="1977 г"/>
        </w:smartTagPr>
        <w:r w:rsidRPr="00063DE4">
          <w:rPr>
            <w:rFonts w:ascii="TimesNewRomanPSMT" w:hAnsi="TimesNewRomanPSMT" w:cs="TimesNewRomanPSMT"/>
            <w:sz w:val="28"/>
            <w:szCs w:val="28"/>
          </w:rPr>
          <w:t>1977 г</w:t>
        </w:r>
      </w:smartTag>
      <w:r w:rsidRPr="00063DE4">
        <w:rPr>
          <w:rFonts w:ascii="TimesNewRomanPSMT" w:hAnsi="TimesNewRomanPSMT" w:cs="TimesNewRomanPSMT"/>
          <w:sz w:val="28"/>
          <w:szCs w:val="28"/>
        </w:rPr>
        <w:t>.: преемственность и новеллы.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sz w:val="28"/>
          <w:szCs w:val="28"/>
        </w:rPr>
        <w:t xml:space="preserve">Государство и право </w:t>
      </w:r>
      <w:r>
        <w:rPr>
          <w:sz w:val="28"/>
          <w:szCs w:val="28"/>
        </w:rPr>
        <w:t xml:space="preserve">СССР </w:t>
      </w:r>
      <w:r w:rsidRPr="00063DE4">
        <w:rPr>
          <w:sz w:val="28"/>
          <w:szCs w:val="28"/>
        </w:rPr>
        <w:t>периода НЭПа.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Этапы становления и развития  советской судебной системы.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Репрессивная политика советского государства в годы сталинского режима.</w:t>
      </w:r>
    </w:p>
    <w:p w:rsidR="00C8248A" w:rsidRPr="00063DE4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Развитие советской исправительно-трудовой системы (ГУЛАГа) в годы сталинского режима.</w:t>
      </w:r>
    </w:p>
    <w:p w:rsidR="00C8248A" w:rsidRPr="009E1440" w:rsidRDefault="00C8248A" w:rsidP="00C8248A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Особенности развития советского конституционализма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</w:pPr>
      <w:r w:rsidRPr="00063DE4">
        <w:rPr>
          <w:rFonts w:ascii="TimesNewRomanPSMT" w:hAnsi="TimesNewRomanPSMT" w:cs="TimesNewRomanPSMT"/>
          <w:sz w:val="28"/>
          <w:szCs w:val="28"/>
        </w:rPr>
        <w:t>Развитие советского права в 1950 –  1970-е гг. (на примере ряда отраслей права).</w:t>
      </w:r>
    </w:p>
    <w:p w:rsidR="00063DE4" w:rsidRPr="00C8248A" w:rsidRDefault="00C8248A" w:rsidP="00063D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rFonts w:ascii="TimesNewRomanPSMT" w:hAnsi="TimesNewRomanPSMT" w:cs="TimesNewRomanPSMT"/>
          <w:sz w:val="28"/>
          <w:szCs w:val="28"/>
        </w:rPr>
        <w:t xml:space="preserve">Разработка и принятие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063DE4">
          <w:rPr>
            <w:rFonts w:ascii="TimesNewRomanPSMT" w:hAnsi="TimesNewRomanPSMT" w:cs="TimesNewRomanPSMT"/>
            <w:sz w:val="28"/>
            <w:szCs w:val="28"/>
          </w:rPr>
          <w:t>1993 г</w:t>
        </w:r>
      </w:smartTag>
      <w:r w:rsidRPr="00063DE4">
        <w:rPr>
          <w:rFonts w:ascii="TimesNewRomanPSMT" w:hAnsi="TimesNewRomanPSMT" w:cs="TimesNewRomanPSMT"/>
          <w:sz w:val="28"/>
          <w:szCs w:val="28"/>
        </w:rPr>
        <w:t>.</w:t>
      </w:r>
      <w:r w:rsidR="00063DE4" w:rsidRPr="00063DE4">
        <w:rPr>
          <w:sz w:val="28"/>
          <w:szCs w:val="28"/>
        </w:rPr>
        <w:t xml:space="preserve"> </w:t>
      </w:r>
    </w:p>
    <w:p w:rsidR="009E1440" w:rsidRPr="00063DE4" w:rsidRDefault="009E1440" w:rsidP="009E1440">
      <w:pPr>
        <w:keepNext/>
        <w:widowControl w:val="0"/>
        <w:numPr>
          <w:ilvl w:val="0"/>
          <w:numId w:val="1"/>
        </w:numPr>
        <w:jc w:val="both"/>
        <w:outlineLvl w:val="1"/>
        <w:rPr>
          <w:bCs/>
          <w:iCs/>
          <w:sz w:val="28"/>
          <w:szCs w:val="28"/>
        </w:rPr>
      </w:pPr>
      <w:r w:rsidRPr="00063DE4">
        <w:rPr>
          <w:rFonts w:ascii="Cambria" w:hAnsi="Cambria"/>
          <w:bCs/>
          <w:iCs/>
          <w:sz w:val="28"/>
        </w:rPr>
        <w:t>Налоги в России.</w:t>
      </w:r>
    </w:p>
    <w:p w:rsidR="009E1440" w:rsidRPr="00063DE4" w:rsidRDefault="009E1440" w:rsidP="009E1440">
      <w:pPr>
        <w:keepNext/>
        <w:widowControl w:val="0"/>
        <w:numPr>
          <w:ilvl w:val="0"/>
          <w:numId w:val="1"/>
        </w:numPr>
        <w:jc w:val="both"/>
        <w:outlineLvl w:val="1"/>
        <w:rPr>
          <w:bCs/>
          <w:iCs/>
          <w:sz w:val="28"/>
          <w:szCs w:val="28"/>
        </w:rPr>
      </w:pPr>
      <w:r w:rsidRPr="00063DE4">
        <w:rPr>
          <w:bCs/>
          <w:iCs/>
          <w:sz w:val="28"/>
          <w:szCs w:val="28"/>
        </w:rPr>
        <w:t xml:space="preserve">Брачно-семейное законодательство. </w:t>
      </w:r>
      <w:r w:rsidRPr="00063DE4">
        <w:rPr>
          <w:bCs/>
          <w:iCs/>
          <w:sz w:val="28"/>
          <w:szCs w:val="28"/>
          <w:lang w:val="en-US"/>
        </w:rPr>
        <w:t>IX</w:t>
      </w:r>
      <w:r w:rsidRPr="00063DE4">
        <w:rPr>
          <w:bCs/>
          <w:iCs/>
          <w:sz w:val="28"/>
          <w:szCs w:val="28"/>
        </w:rPr>
        <w:t xml:space="preserve"> в. – </w:t>
      </w:r>
      <w:smartTag w:uri="urn:schemas-microsoft-com:office:smarttags" w:element="metricconverter">
        <w:smartTagPr>
          <w:attr w:name="ProductID" w:val="1917 г"/>
        </w:smartTagPr>
        <w:r w:rsidRPr="00063DE4">
          <w:rPr>
            <w:bCs/>
            <w:iCs/>
            <w:sz w:val="28"/>
            <w:szCs w:val="28"/>
          </w:rPr>
          <w:t>1917 г</w:t>
        </w:r>
      </w:smartTag>
      <w:r w:rsidRPr="00063DE4">
        <w:rPr>
          <w:bCs/>
          <w:iCs/>
          <w:sz w:val="28"/>
          <w:szCs w:val="28"/>
        </w:rPr>
        <w:t>.</w:t>
      </w:r>
    </w:p>
    <w:p w:rsidR="009E1440" w:rsidRPr="00063DE4" w:rsidRDefault="009E1440" w:rsidP="009E1440">
      <w:pPr>
        <w:keepNext/>
        <w:widowControl w:val="0"/>
        <w:numPr>
          <w:ilvl w:val="0"/>
          <w:numId w:val="1"/>
        </w:numPr>
        <w:jc w:val="both"/>
        <w:outlineLvl w:val="1"/>
        <w:rPr>
          <w:bCs/>
          <w:iCs/>
          <w:sz w:val="28"/>
          <w:szCs w:val="28"/>
        </w:rPr>
      </w:pPr>
      <w:r w:rsidRPr="00063DE4">
        <w:rPr>
          <w:bCs/>
          <w:iCs/>
          <w:sz w:val="28"/>
          <w:szCs w:val="28"/>
        </w:rPr>
        <w:t>Брачно-семейное законодательство в советский период.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</w:rPr>
        <w:t xml:space="preserve">Наследственное право. </w:t>
      </w:r>
      <w:r w:rsidRPr="00063DE4">
        <w:rPr>
          <w:sz w:val="28"/>
          <w:lang w:val="en-US"/>
        </w:rPr>
        <w:t>IX</w:t>
      </w:r>
      <w:r w:rsidRPr="00063DE4">
        <w:rPr>
          <w:sz w:val="28"/>
        </w:rPr>
        <w:t xml:space="preserve"> в. – </w:t>
      </w:r>
      <w:smartTag w:uri="urn:schemas-microsoft-com:office:smarttags" w:element="metricconverter">
        <w:smartTagPr>
          <w:attr w:name="ProductID" w:val="1917 г"/>
        </w:smartTagPr>
        <w:r w:rsidRPr="00063DE4">
          <w:rPr>
            <w:sz w:val="28"/>
          </w:rPr>
          <w:t>1917 г</w:t>
        </w:r>
      </w:smartTag>
      <w:r w:rsidRPr="00063DE4">
        <w:rPr>
          <w:sz w:val="28"/>
        </w:rPr>
        <w:t>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</w:rPr>
        <w:t>Наследственное право в советский период.</w:t>
      </w:r>
    </w:p>
    <w:p w:rsidR="009E1440" w:rsidRPr="00063DE4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>История российской  прокуратуры.</w:t>
      </w:r>
    </w:p>
    <w:p w:rsidR="009E1440" w:rsidRDefault="009E1440" w:rsidP="009E1440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63DE4">
        <w:rPr>
          <w:sz w:val="28"/>
          <w:szCs w:val="28"/>
        </w:rPr>
        <w:t xml:space="preserve"> История российской полиции.</w:t>
      </w:r>
    </w:p>
    <w:p w:rsidR="00F43541" w:rsidRPr="00C8248A" w:rsidRDefault="00C8248A" w:rsidP="00C8248A">
      <w:pPr>
        <w:widowControl w:val="0"/>
        <w:numPr>
          <w:ilvl w:val="0"/>
          <w:numId w:val="1"/>
        </w:numPr>
        <w:jc w:val="both"/>
      </w:pPr>
      <w:r w:rsidRPr="00063DE4">
        <w:rPr>
          <w:rFonts w:ascii="TimesNewRomanPSMT" w:hAnsi="TimesNewRomanPSMT" w:cs="TimesNewRomanPSMT"/>
          <w:sz w:val="28"/>
          <w:szCs w:val="28"/>
        </w:rPr>
        <w:t>Советское трудовое право: историческая эволюция правовых институтов.</w:t>
      </w:r>
    </w:p>
    <w:p w:rsidR="00C8248A" w:rsidRDefault="00C8248A" w:rsidP="00C8248A">
      <w:pPr>
        <w:widowControl w:val="0"/>
        <w:ind w:left="720"/>
        <w:jc w:val="both"/>
      </w:pPr>
      <w:bookmarkStart w:id="0" w:name="_GoBack"/>
      <w:bookmarkEnd w:id="0"/>
    </w:p>
    <w:p w:rsidR="00063DE4" w:rsidRPr="00063DE4" w:rsidRDefault="00063DE4" w:rsidP="00063DE4">
      <w:pPr>
        <w:widowControl w:val="0"/>
        <w:ind w:firstLine="400"/>
        <w:jc w:val="both"/>
        <w:rPr>
          <w:sz w:val="28"/>
          <w:szCs w:val="28"/>
        </w:rPr>
      </w:pPr>
    </w:p>
    <w:p w:rsidR="00063DE4" w:rsidRDefault="00063DE4"/>
    <w:sectPr w:rsidR="00063DE4" w:rsidSect="0069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E2B"/>
    <w:multiLevelType w:val="hybridMultilevel"/>
    <w:tmpl w:val="9B9890C2"/>
    <w:lvl w:ilvl="0" w:tplc="EAAA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DF779B"/>
    <w:multiLevelType w:val="hybridMultilevel"/>
    <w:tmpl w:val="4E20A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BA7"/>
    <w:rsid w:val="00063DE4"/>
    <w:rsid w:val="00090D4A"/>
    <w:rsid w:val="004B2BA7"/>
    <w:rsid w:val="006977A6"/>
    <w:rsid w:val="009E1440"/>
    <w:rsid w:val="00C8248A"/>
    <w:rsid w:val="00F4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3D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63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063DE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63D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3D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63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063DE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63D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Эксперт</cp:lastModifiedBy>
  <cp:revision>4</cp:revision>
  <dcterms:created xsi:type="dcterms:W3CDTF">2015-12-15T02:50:00Z</dcterms:created>
  <dcterms:modified xsi:type="dcterms:W3CDTF">2019-12-09T09:01:00Z</dcterms:modified>
</cp:coreProperties>
</file>