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Override PartName="/docProps/custom.xml" ContentType="application/vnd.openxmlformats-officedocument.custom-properties+xml"/>
  <Override PartName="/word/comments.xml" ContentType="application/vnd.openxmlformats-officedocument.wordprocessingml.comment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p>
      <w:pPr>
        <w:ind w:left="980"/>
        <w:spacing w:after="0"/>
        <w:rPr>
          <w:sz w:val="20"/>
          <w:szCs w:val="20"/>
          <w:color w:val="auto"/>
        </w:rPr>
      </w:pPr>
      <w:r>
        <w:rPr>
          <w:rFonts w:ascii="Times New Roman" w:cs="Times New Roman" w:eastAsia="Times New Roman" w:hAnsi="Times New Roman"/>
          <w:sz w:val="28"/>
          <w:szCs w:val="28"/>
          <w:color w:val="auto"/>
        </w:rPr>
        <w:t>УЧЕБНОЕ ПОСОБИЕ ПО ЦИКЛУ ПРАКТИЧЕСКИХ ЗАНЯТИЙ</w: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12" w:lineRule="exact"/>
        <w:rPr>
          <w:sz w:val="24"/>
          <w:szCs w:val="24"/>
          <w:color w:val="auto"/>
        </w:rPr>
      </w:pPr>
    </w:p>
    <w:p>
      <w:pPr>
        <w:jc w:val="center"/>
        <w:ind w:right="-259"/>
        <w:spacing w:after="0"/>
        <w:rPr>
          <w:sz w:val="20"/>
          <w:szCs w:val="20"/>
          <w:color w:val="auto"/>
        </w:rPr>
      </w:pPr>
      <w:r>
        <w:rPr>
          <w:rFonts w:ascii="Times New Roman" w:cs="Times New Roman" w:eastAsia="Times New Roman" w:hAnsi="Times New Roman"/>
          <w:sz w:val="52"/>
          <w:szCs w:val="52"/>
          <w:color w:val="auto"/>
        </w:rPr>
        <w:t>ОЦЕНКА БИЗНЕСА</w: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35" w:lineRule="exact"/>
        <w:rPr>
          <w:sz w:val="24"/>
          <w:szCs w:val="24"/>
          <w:color w:val="auto"/>
        </w:rPr>
      </w:pPr>
    </w:p>
    <w:p>
      <w:pPr>
        <w:jc w:val="right"/>
        <w:spacing w:after="0"/>
        <w:rPr>
          <w:sz w:val="20"/>
          <w:szCs w:val="20"/>
          <w:color w:val="auto"/>
        </w:rPr>
      </w:pPr>
      <w:r>
        <w:rPr>
          <w:rFonts w:ascii="Times New Roman" w:cs="Times New Roman" w:eastAsia="Times New Roman" w:hAnsi="Times New Roman"/>
          <w:sz w:val="28"/>
          <w:szCs w:val="28"/>
          <w:color w:val="auto"/>
        </w:rPr>
        <w:t>Составители: Якушев А.А.</w:t>
      </w:r>
    </w:p>
    <w:p>
      <w:pPr>
        <w:jc w:val="right"/>
        <w:spacing w:after="0"/>
        <w:rPr>
          <w:sz w:val="20"/>
          <w:szCs w:val="20"/>
          <w:color w:val="auto"/>
        </w:rPr>
      </w:pPr>
      <w:r>
        <w:rPr>
          <w:rFonts w:ascii="Times New Roman" w:cs="Times New Roman" w:eastAsia="Times New Roman" w:hAnsi="Times New Roman"/>
          <w:sz w:val="28"/>
          <w:szCs w:val="28"/>
          <w:color w:val="auto"/>
        </w:rPr>
        <w:t>Журавлев Ю.А.</w:t>
      </w:r>
    </w:p>
    <w:p>
      <w:pPr>
        <w:ind w:left="8080"/>
        <w:spacing w:after="0"/>
        <w:rPr>
          <w:sz w:val="20"/>
          <w:szCs w:val="20"/>
          <w:color w:val="auto"/>
        </w:rPr>
      </w:pPr>
      <w:r>
        <w:rPr>
          <w:rFonts w:ascii="Times New Roman" w:cs="Times New Roman" w:eastAsia="Times New Roman" w:hAnsi="Times New Roman"/>
          <w:sz w:val="28"/>
          <w:szCs w:val="28"/>
          <w:color w:val="auto"/>
        </w:rPr>
        <w:t>Сабада К.Ю.</w:t>
      </w:r>
    </w:p>
    <w:p>
      <w:pPr>
        <w:ind w:left="7920"/>
        <w:spacing w:after="0"/>
        <w:rPr>
          <w:sz w:val="20"/>
          <w:szCs w:val="20"/>
          <w:color w:val="auto"/>
        </w:rPr>
      </w:pPr>
      <w:r>
        <w:rPr>
          <w:rFonts w:ascii="Times New Roman" w:cs="Times New Roman" w:eastAsia="Times New Roman" w:hAnsi="Times New Roman"/>
          <w:sz w:val="28"/>
          <w:szCs w:val="28"/>
          <w:color w:val="auto"/>
        </w:rPr>
        <w:t>Зелькина А.В.</w:t>
      </w:r>
    </w:p>
    <w:p>
      <w:pPr>
        <w:jc w:val="right"/>
        <w:spacing w:after="0"/>
        <w:rPr>
          <w:sz w:val="20"/>
          <w:szCs w:val="20"/>
          <w:color w:val="auto"/>
        </w:rPr>
      </w:pPr>
      <w:r>
        <w:rPr>
          <w:rFonts w:ascii="Times New Roman" w:cs="Times New Roman" w:eastAsia="Times New Roman" w:hAnsi="Times New Roman"/>
          <w:sz w:val="28"/>
          <w:szCs w:val="28"/>
          <w:color w:val="auto"/>
        </w:rPr>
        <w:t>Вовк П.К.</w: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98" w:lineRule="exact"/>
        <w:rPr>
          <w:sz w:val="24"/>
          <w:szCs w:val="24"/>
          <w:color w:val="auto"/>
        </w:rPr>
      </w:pPr>
    </w:p>
    <w:p>
      <w:pPr>
        <w:jc w:val="center"/>
        <w:ind w:right="-259"/>
        <w:spacing w:after="0"/>
        <w:rPr>
          <w:sz w:val="20"/>
          <w:szCs w:val="20"/>
          <w:color w:val="auto"/>
        </w:rPr>
      </w:pPr>
      <w:r>
        <w:rPr>
          <w:rFonts w:ascii="Times New Roman" w:cs="Times New Roman" w:eastAsia="Times New Roman" w:hAnsi="Times New Roman"/>
          <w:sz w:val="28"/>
          <w:szCs w:val="28"/>
          <w:color w:val="auto"/>
        </w:rPr>
        <w:t>Красноярск 2007 г.</w:t>
      </w:r>
    </w:p>
    <w:p>
      <w:pPr>
        <w:sectPr>
          <w:pgSz w:w="11900" w:h="16840" w:orient="portrait"/>
          <w:cols w:equalWidth="0" w:num="1">
            <w:col w:w="9620"/>
          </w:cols>
          <w:pgMar w:left="1440" w:top="1112" w:right="844" w:bottom="163" w:gutter="0" w:footer="0" w:header="0"/>
        </w:sectPr>
      </w:pPr>
    </w:p>
    <w:p>
      <w:pPr>
        <w:spacing w:after="0" w:line="327" w:lineRule="exact"/>
        <w:rPr>
          <w:sz w:val="24"/>
          <w:szCs w:val="24"/>
          <w:color w:val="auto"/>
        </w:rPr>
      </w:pPr>
    </w:p>
    <w:p>
      <w:pPr>
        <w:ind w:left="9500"/>
        <w:spacing w:after="0"/>
        <w:rPr>
          <w:sz w:val="20"/>
          <w:szCs w:val="20"/>
          <w:color w:val="auto"/>
        </w:rPr>
      </w:pPr>
      <w:r>
        <w:rPr>
          <w:rFonts w:ascii="Times New Roman" w:cs="Times New Roman" w:eastAsia="Times New Roman" w:hAnsi="Times New Roman"/>
          <w:sz w:val="24"/>
          <w:szCs w:val="24"/>
          <w:color w:val="auto"/>
        </w:rPr>
        <w:t>1</w:t>
      </w:r>
    </w:p>
    <w:p>
      <w:pPr>
        <w:sectPr>
          <w:pgSz w:w="11900" w:h="16840" w:orient="portrait"/>
          <w:cols w:equalWidth="0" w:num="1">
            <w:col w:w="9620"/>
          </w:cols>
          <w:pgMar w:left="1440" w:top="1112" w:right="844" w:bottom="163" w:gutter="0" w:footer="0" w:header="0"/>
          <w:type w:val="continuous"/>
        </w:sectPr>
      </w:pPr>
    </w:p>
    <w:tbl>
      <w:tblPr>
        <w:tblLayout w:type="fixed"/>
        <w:tblInd w:w="260" w:type="dxa"/>
        <w:tblCellMar>
          <w:top w:w="0" w:type="dxa"/>
          <w:left w:w="0" w:type="dxa"/>
          <w:bottom w:w="0" w:type="dxa"/>
          <w:right w:w="0" w:type="dxa"/>
        </w:tblCellMar>
      </w:tblPr>
      <w:tr>
        <w:trPr>
          <w:trHeight w:val="364"/>
        </w:trPr>
        <w:tc>
          <w:tcPr>
            <w:tcW w:w="22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8360" w:type="dxa"/>
            <w:vAlign w:val="bottom"/>
          </w:tcPr>
          <w:p>
            <w:pPr>
              <w:jc w:val="right"/>
              <w:ind w:right="3280"/>
              <w:spacing w:after="0"/>
              <w:rPr>
                <w:sz w:val="20"/>
                <w:szCs w:val="20"/>
                <w:color w:val="auto"/>
              </w:rPr>
            </w:pPr>
            <w:r>
              <w:rPr>
                <w:rFonts w:ascii="Times New Roman" w:cs="Times New Roman" w:eastAsia="Times New Roman" w:hAnsi="Times New Roman"/>
                <w:sz w:val="28"/>
                <w:szCs w:val="28"/>
                <w:color w:val="auto"/>
              </w:rPr>
              <w:t>СОДЕРЖАНИЕ</w:t>
            </w:r>
          </w:p>
        </w:tc>
        <w:tc>
          <w:tcPr>
            <w:tcW w:w="280" w:type="dxa"/>
            <w:vAlign w:val="bottom"/>
          </w:tcPr>
          <w:p>
            <w:pPr>
              <w:spacing w:after="0"/>
              <w:rPr>
                <w:sz w:val="24"/>
                <w:szCs w:val="24"/>
                <w:color w:val="auto"/>
              </w:rPr>
            </w:pPr>
          </w:p>
        </w:tc>
      </w:tr>
      <w:tr>
        <w:trPr>
          <w:trHeight w:val="602"/>
        </w:trPr>
        <w:tc>
          <w:tcPr>
            <w:tcW w:w="9060" w:type="dxa"/>
            <w:vAlign w:val="bottom"/>
            <w:gridSpan w:val="3"/>
          </w:tcPr>
          <w:p>
            <w:pPr>
              <w:spacing w:after="0"/>
              <w:rPr>
                <w:sz w:val="20"/>
                <w:szCs w:val="20"/>
                <w:color w:val="auto"/>
              </w:rPr>
            </w:pPr>
            <w:r>
              <w:rPr>
                <w:rFonts w:ascii="Times New Roman" w:cs="Times New Roman" w:eastAsia="Times New Roman" w:hAnsi="Times New Roman"/>
                <w:sz w:val="28"/>
                <w:szCs w:val="28"/>
                <w:color w:val="auto"/>
                <w:w w:val="98"/>
              </w:rPr>
              <w:t>ВВЕДЕНИЕ..............................................................................................................</w:t>
            </w:r>
          </w:p>
        </w:tc>
        <w:tc>
          <w:tcPr>
            <w:tcW w:w="280" w:type="dxa"/>
            <w:vAlign w:val="bottom"/>
          </w:tcPr>
          <w:p>
            <w:pPr>
              <w:jc w:val="right"/>
              <w:spacing w:after="0"/>
              <w:rPr>
                <w:sz w:val="20"/>
                <w:szCs w:val="20"/>
                <w:color w:val="auto"/>
              </w:rPr>
            </w:pPr>
            <w:r>
              <w:rPr>
                <w:rFonts w:ascii="Times New Roman" w:cs="Times New Roman" w:eastAsia="Times New Roman" w:hAnsi="Times New Roman"/>
                <w:sz w:val="28"/>
                <w:szCs w:val="28"/>
                <w:color w:val="auto"/>
              </w:rPr>
              <w:t>3</w:t>
            </w:r>
          </w:p>
        </w:tc>
      </w:tr>
      <w:tr>
        <w:trPr>
          <w:trHeight w:val="322"/>
        </w:trPr>
        <w:tc>
          <w:tcPr>
            <w:tcW w:w="220" w:type="dxa"/>
            <w:vAlign w:val="bottom"/>
          </w:tcPr>
          <w:p>
            <w:pPr>
              <w:spacing w:after="0"/>
              <w:rPr>
                <w:sz w:val="20"/>
                <w:szCs w:val="20"/>
                <w:color w:val="auto"/>
              </w:rPr>
            </w:pPr>
            <w:r>
              <w:rPr>
                <w:rFonts w:ascii="Times New Roman" w:cs="Times New Roman" w:eastAsia="Times New Roman" w:hAnsi="Times New Roman"/>
                <w:sz w:val="28"/>
                <w:szCs w:val="28"/>
                <w:color w:val="auto"/>
                <w:w w:val="95"/>
              </w:rPr>
              <w:t>1.</w:t>
            </w:r>
          </w:p>
        </w:tc>
        <w:tc>
          <w:tcPr>
            <w:tcW w:w="8840" w:type="dxa"/>
            <w:vAlign w:val="bottom"/>
            <w:gridSpan w:val="2"/>
          </w:tcPr>
          <w:p>
            <w:pPr>
              <w:jc w:val="right"/>
              <w:spacing w:after="0"/>
              <w:rPr>
                <w:sz w:val="20"/>
                <w:szCs w:val="20"/>
                <w:color w:val="auto"/>
              </w:rPr>
            </w:pPr>
            <w:r>
              <w:rPr>
                <w:rFonts w:ascii="Times New Roman" w:cs="Times New Roman" w:eastAsia="Times New Roman" w:hAnsi="Times New Roman"/>
                <w:sz w:val="28"/>
                <w:szCs w:val="28"/>
                <w:color w:val="auto"/>
                <w:w w:val="99"/>
              </w:rPr>
              <w:t>ДОХОДНЫЙ ПОДХОД К ОЦЕНКЕ БИЗНЕСА ............................................</w:t>
            </w:r>
          </w:p>
        </w:tc>
        <w:tc>
          <w:tcPr>
            <w:tcW w:w="280" w:type="dxa"/>
            <w:vAlign w:val="bottom"/>
          </w:tcPr>
          <w:p>
            <w:pPr>
              <w:jc w:val="right"/>
              <w:spacing w:after="0"/>
              <w:rPr>
                <w:sz w:val="20"/>
                <w:szCs w:val="20"/>
                <w:color w:val="auto"/>
              </w:rPr>
            </w:pPr>
            <w:r>
              <w:rPr>
                <w:rFonts w:ascii="Times New Roman" w:cs="Times New Roman" w:eastAsia="Times New Roman" w:hAnsi="Times New Roman"/>
                <w:sz w:val="28"/>
                <w:szCs w:val="28"/>
                <w:color w:val="auto"/>
              </w:rPr>
              <w:t>4</w:t>
            </w:r>
          </w:p>
        </w:tc>
      </w:tr>
      <w:tr>
        <w:trPr>
          <w:trHeight w:val="323"/>
        </w:trPr>
        <w:tc>
          <w:tcPr>
            <w:tcW w:w="220" w:type="dxa"/>
            <w:vAlign w:val="bottom"/>
          </w:tcPr>
          <w:p>
            <w:pPr>
              <w:spacing w:after="0"/>
              <w:rPr>
                <w:sz w:val="20"/>
                <w:szCs w:val="20"/>
                <w:color w:val="auto"/>
              </w:rPr>
            </w:pPr>
            <w:r>
              <w:rPr>
                <w:rFonts w:ascii="Times New Roman" w:cs="Times New Roman" w:eastAsia="Times New Roman" w:hAnsi="Times New Roman"/>
                <w:sz w:val="28"/>
                <w:szCs w:val="28"/>
                <w:color w:val="auto"/>
                <w:w w:val="95"/>
              </w:rPr>
              <w:t>2.</w:t>
            </w:r>
          </w:p>
        </w:tc>
        <w:tc>
          <w:tcPr>
            <w:tcW w:w="8840" w:type="dxa"/>
            <w:vAlign w:val="bottom"/>
            <w:gridSpan w:val="2"/>
          </w:tcPr>
          <w:p>
            <w:pPr>
              <w:jc w:val="right"/>
              <w:spacing w:after="0"/>
              <w:rPr>
                <w:sz w:val="20"/>
                <w:szCs w:val="20"/>
                <w:color w:val="auto"/>
              </w:rPr>
            </w:pPr>
            <w:r>
              <w:rPr>
                <w:rFonts w:ascii="Times New Roman" w:cs="Times New Roman" w:eastAsia="Times New Roman" w:hAnsi="Times New Roman"/>
                <w:sz w:val="28"/>
                <w:szCs w:val="28"/>
                <w:color w:val="auto"/>
              </w:rPr>
              <w:t>РЫНОЧНЫЙ ПОДХОД К ОЦЕНКЕ СТОИМОСТИ БИЗНЕСА................</w:t>
            </w:r>
          </w:p>
        </w:tc>
        <w:tc>
          <w:tcPr>
            <w:tcW w:w="280" w:type="dxa"/>
            <w:vAlign w:val="bottom"/>
          </w:tcPr>
          <w:p>
            <w:pPr>
              <w:jc w:val="right"/>
              <w:spacing w:after="0"/>
              <w:rPr>
                <w:sz w:val="20"/>
                <w:szCs w:val="20"/>
                <w:color w:val="auto"/>
              </w:rPr>
            </w:pPr>
            <w:r>
              <w:rPr>
                <w:rFonts w:ascii="Times New Roman" w:cs="Times New Roman" w:eastAsia="Times New Roman" w:hAnsi="Times New Roman"/>
                <w:sz w:val="28"/>
                <w:szCs w:val="28"/>
                <w:color w:val="auto"/>
                <w:w w:val="92"/>
              </w:rPr>
              <w:t>19</w:t>
            </w:r>
          </w:p>
        </w:tc>
      </w:tr>
      <w:tr>
        <w:trPr>
          <w:trHeight w:val="322"/>
        </w:trPr>
        <w:tc>
          <w:tcPr>
            <w:tcW w:w="220" w:type="dxa"/>
            <w:vAlign w:val="bottom"/>
          </w:tcPr>
          <w:p>
            <w:pPr>
              <w:spacing w:after="0"/>
              <w:rPr>
                <w:sz w:val="20"/>
                <w:szCs w:val="20"/>
                <w:color w:val="auto"/>
              </w:rPr>
            </w:pPr>
            <w:r>
              <w:rPr>
                <w:rFonts w:ascii="Times New Roman" w:cs="Times New Roman" w:eastAsia="Times New Roman" w:hAnsi="Times New Roman"/>
                <w:sz w:val="28"/>
                <w:szCs w:val="28"/>
                <w:color w:val="auto"/>
                <w:w w:val="95"/>
              </w:rPr>
              <w:t>3.</w:t>
            </w:r>
          </w:p>
        </w:tc>
        <w:tc>
          <w:tcPr>
            <w:tcW w:w="8840" w:type="dxa"/>
            <w:vAlign w:val="bottom"/>
            <w:gridSpan w:val="2"/>
          </w:tcPr>
          <w:p>
            <w:pPr>
              <w:jc w:val="right"/>
              <w:spacing w:after="0"/>
              <w:rPr>
                <w:sz w:val="20"/>
                <w:szCs w:val="20"/>
                <w:color w:val="auto"/>
              </w:rPr>
            </w:pPr>
            <w:r>
              <w:rPr>
                <w:rFonts w:ascii="Times New Roman" w:cs="Times New Roman" w:eastAsia="Times New Roman" w:hAnsi="Times New Roman"/>
                <w:sz w:val="28"/>
                <w:szCs w:val="28"/>
                <w:color w:val="auto"/>
              </w:rPr>
              <w:t>ЗАТРАТНЫЙ ПОДХОД К ОЦЕНКЕ СТОИМОСТИ БИЗНЕСА...............</w:t>
            </w:r>
          </w:p>
        </w:tc>
        <w:tc>
          <w:tcPr>
            <w:tcW w:w="280" w:type="dxa"/>
            <w:vAlign w:val="bottom"/>
          </w:tcPr>
          <w:p>
            <w:pPr>
              <w:jc w:val="right"/>
              <w:spacing w:after="0"/>
              <w:rPr>
                <w:sz w:val="20"/>
                <w:szCs w:val="20"/>
                <w:color w:val="auto"/>
              </w:rPr>
            </w:pPr>
            <w:r>
              <w:rPr>
                <w:rFonts w:ascii="Times New Roman" w:cs="Times New Roman" w:eastAsia="Times New Roman" w:hAnsi="Times New Roman"/>
                <w:sz w:val="28"/>
                <w:szCs w:val="28"/>
                <w:color w:val="auto"/>
                <w:w w:val="92"/>
              </w:rPr>
              <w:t>24</w:t>
            </w:r>
          </w:p>
        </w:tc>
      </w:tr>
      <w:tr>
        <w:trPr>
          <w:trHeight w:val="322"/>
        </w:trPr>
        <w:tc>
          <w:tcPr>
            <w:tcW w:w="220" w:type="dxa"/>
            <w:vAlign w:val="bottom"/>
          </w:tcPr>
          <w:p>
            <w:pPr>
              <w:spacing w:after="0"/>
              <w:rPr>
                <w:sz w:val="24"/>
                <w:szCs w:val="24"/>
                <w:color w:val="auto"/>
              </w:rPr>
            </w:pPr>
          </w:p>
        </w:tc>
        <w:tc>
          <w:tcPr>
            <w:tcW w:w="480" w:type="dxa"/>
            <w:vAlign w:val="bottom"/>
          </w:tcPr>
          <w:p>
            <w:pPr>
              <w:jc w:val="right"/>
              <w:spacing w:after="0"/>
              <w:rPr>
                <w:sz w:val="20"/>
                <w:szCs w:val="20"/>
                <w:color w:val="auto"/>
              </w:rPr>
            </w:pPr>
            <w:r>
              <w:rPr>
                <w:rFonts w:ascii="Times New Roman" w:cs="Times New Roman" w:eastAsia="Times New Roman" w:hAnsi="Times New Roman"/>
                <w:sz w:val="28"/>
                <w:szCs w:val="28"/>
                <w:color w:val="auto"/>
                <w:w w:val="99"/>
              </w:rPr>
              <w:t>3.1.</w:t>
            </w:r>
          </w:p>
        </w:tc>
        <w:tc>
          <w:tcPr>
            <w:tcW w:w="8360" w:type="dxa"/>
            <w:vAlign w:val="bottom"/>
          </w:tcPr>
          <w:p>
            <w:pPr>
              <w:jc w:val="right"/>
              <w:spacing w:after="0"/>
              <w:rPr>
                <w:sz w:val="20"/>
                <w:szCs w:val="20"/>
                <w:color w:val="auto"/>
              </w:rPr>
            </w:pPr>
            <w:r>
              <w:rPr>
                <w:rFonts w:ascii="Times New Roman" w:cs="Times New Roman" w:eastAsia="Times New Roman" w:hAnsi="Times New Roman"/>
                <w:sz w:val="28"/>
                <w:szCs w:val="28"/>
                <w:color w:val="auto"/>
              </w:rPr>
              <w:t>Оценка рыночной стоимости недвижимого имущества предприятия..</w:t>
            </w:r>
          </w:p>
        </w:tc>
        <w:tc>
          <w:tcPr>
            <w:tcW w:w="280" w:type="dxa"/>
            <w:vAlign w:val="bottom"/>
          </w:tcPr>
          <w:p>
            <w:pPr>
              <w:jc w:val="right"/>
              <w:spacing w:after="0"/>
              <w:rPr>
                <w:sz w:val="20"/>
                <w:szCs w:val="20"/>
                <w:color w:val="auto"/>
              </w:rPr>
            </w:pPr>
            <w:r>
              <w:rPr>
                <w:rFonts w:ascii="Times New Roman" w:cs="Times New Roman" w:eastAsia="Times New Roman" w:hAnsi="Times New Roman"/>
                <w:sz w:val="28"/>
                <w:szCs w:val="28"/>
                <w:color w:val="auto"/>
                <w:w w:val="92"/>
              </w:rPr>
              <w:t>26</w:t>
            </w:r>
          </w:p>
        </w:tc>
      </w:tr>
      <w:tr>
        <w:trPr>
          <w:trHeight w:val="322"/>
        </w:trPr>
        <w:tc>
          <w:tcPr>
            <w:tcW w:w="220" w:type="dxa"/>
            <w:vAlign w:val="bottom"/>
          </w:tcPr>
          <w:p>
            <w:pPr>
              <w:spacing w:after="0"/>
              <w:rPr>
                <w:sz w:val="24"/>
                <w:szCs w:val="24"/>
                <w:color w:val="auto"/>
              </w:rPr>
            </w:pPr>
          </w:p>
        </w:tc>
        <w:tc>
          <w:tcPr>
            <w:tcW w:w="480" w:type="dxa"/>
            <w:vAlign w:val="bottom"/>
          </w:tcPr>
          <w:p>
            <w:pPr>
              <w:jc w:val="right"/>
              <w:spacing w:after="0"/>
              <w:rPr>
                <w:sz w:val="20"/>
                <w:szCs w:val="20"/>
                <w:color w:val="auto"/>
              </w:rPr>
            </w:pPr>
            <w:r>
              <w:rPr>
                <w:rFonts w:ascii="Times New Roman" w:cs="Times New Roman" w:eastAsia="Times New Roman" w:hAnsi="Times New Roman"/>
                <w:sz w:val="28"/>
                <w:szCs w:val="28"/>
                <w:color w:val="auto"/>
                <w:w w:val="99"/>
              </w:rPr>
              <w:t>3.2.</w:t>
            </w:r>
          </w:p>
        </w:tc>
        <w:tc>
          <w:tcPr>
            <w:tcW w:w="8360" w:type="dxa"/>
            <w:vAlign w:val="bottom"/>
          </w:tcPr>
          <w:p>
            <w:pPr>
              <w:jc w:val="right"/>
              <w:spacing w:after="0"/>
              <w:rPr>
                <w:sz w:val="20"/>
                <w:szCs w:val="20"/>
                <w:color w:val="auto"/>
              </w:rPr>
            </w:pPr>
            <w:r>
              <w:rPr>
                <w:rFonts w:ascii="Times New Roman" w:cs="Times New Roman" w:eastAsia="Times New Roman" w:hAnsi="Times New Roman"/>
                <w:sz w:val="28"/>
                <w:szCs w:val="28"/>
                <w:color w:val="auto"/>
                <w:w w:val="99"/>
              </w:rPr>
              <w:t>Оценка рыночной стоимости машин и оборудования ............................</w:t>
            </w:r>
          </w:p>
        </w:tc>
        <w:tc>
          <w:tcPr>
            <w:tcW w:w="280" w:type="dxa"/>
            <w:vAlign w:val="bottom"/>
          </w:tcPr>
          <w:p>
            <w:pPr>
              <w:jc w:val="right"/>
              <w:spacing w:after="0"/>
              <w:rPr>
                <w:sz w:val="20"/>
                <w:szCs w:val="20"/>
                <w:color w:val="auto"/>
              </w:rPr>
            </w:pPr>
            <w:r>
              <w:rPr>
                <w:rFonts w:ascii="Times New Roman" w:cs="Times New Roman" w:eastAsia="Times New Roman" w:hAnsi="Times New Roman"/>
                <w:sz w:val="28"/>
                <w:szCs w:val="28"/>
                <w:color w:val="auto"/>
                <w:w w:val="92"/>
              </w:rPr>
              <w:t>31</w:t>
            </w:r>
          </w:p>
        </w:tc>
      </w:tr>
      <w:tr>
        <w:trPr>
          <w:trHeight w:val="323"/>
        </w:trPr>
        <w:tc>
          <w:tcPr>
            <w:tcW w:w="220" w:type="dxa"/>
            <w:vAlign w:val="bottom"/>
          </w:tcPr>
          <w:p>
            <w:pPr>
              <w:spacing w:after="0"/>
              <w:rPr>
                <w:sz w:val="24"/>
                <w:szCs w:val="24"/>
                <w:color w:val="auto"/>
              </w:rPr>
            </w:pPr>
          </w:p>
        </w:tc>
        <w:tc>
          <w:tcPr>
            <w:tcW w:w="480" w:type="dxa"/>
            <w:vAlign w:val="bottom"/>
          </w:tcPr>
          <w:p>
            <w:pPr>
              <w:jc w:val="right"/>
              <w:spacing w:after="0"/>
              <w:rPr>
                <w:sz w:val="20"/>
                <w:szCs w:val="20"/>
                <w:color w:val="auto"/>
              </w:rPr>
            </w:pPr>
            <w:r>
              <w:rPr>
                <w:rFonts w:ascii="Times New Roman" w:cs="Times New Roman" w:eastAsia="Times New Roman" w:hAnsi="Times New Roman"/>
                <w:sz w:val="28"/>
                <w:szCs w:val="28"/>
                <w:color w:val="auto"/>
                <w:w w:val="99"/>
              </w:rPr>
              <w:t>3.3.</w:t>
            </w:r>
          </w:p>
        </w:tc>
        <w:tc>
          <w:tcPr>
            <w:tcW w:w="8360" w:type="dxa"/>
            <w:vAlign w:val="bottom"/>
          </w:tcPr>
          <w:p>
            <w:pPr>
              <w:jc w:val="right"/>
              <w:spacing w:after="0"/>
              <w:rPr>
                <w:sz w:val="20"/>
                <w:szCs w:val="20"/>
                <w:color w:val="auto"/>
              </w:rPr>
            </w:pPr>
            <w:r>
              <w:rPr>
                <w:rFonts w:ascii="Times New Roman" w:cs="Times New Roman" w:eastAsia="Times New Roman" w:hAnsi="Times New Roman"/>
                <w:sz w:val="28"/>
                <w:szCs w:val="28"/>
                <w:color w:val="auto"/>
              </w:rPr>
              <w:t>Оценка рыночной стоимости нематериальных активов.........................</w:t>
            </w:r>
          </w:p>
        </w:tc>
        <w:tc>
          <w:tcPr>
            <w:tcW w:w="280" w:type="dxa"/>
            <w:vAlign w:val="bottom"/>
          </w:tcPr>
          <w:p>
            <w:pPr>
              <w:jc w:val="right"/>
              <w:spacing w:after="0"/>
              <w:rPr>
                <w:sz w:val="20"/>
                <w:szCs w:val="20"/>
                <w:color w:val="auto"/>
              </w:rPr>
            </w:pPr>
            <w:r>
              <w:rPr>
                <w:rFonts w:ascii="Times New Roman" w:cs="Times New Roman" w:eastAsia="Times New Roman" w:hAnsi="Times New Roman"/>
                <w:sz w:val="28"/>
                <w:szCs w:val="28"/>
                <w:color w:val="auto"/>
                <w:w w:val="92"/>
              </w:rPr>
              <w:t>39</w:t>
            </w:r>
          </w:p>
        </w:tc>
      </w:tr>
      <w:tr>
        <w:trPr>
          <w:trHeight w:val="322"/>
        </w:trPr>
        <w:tc>
          <w:tcPr>
            <w:tcW w:w="220" w:type="dxa"/>
            <w:vAlign w:val="bottom"/>
          </w:tcPr>
          <w:p>
            <w:pPr>
              <w:spacing w:after="0"/>
              <w:rPr>
                <w:sz w:val="24"/>
                <w:szCs w:val="24"/>
                <w:color w:val="auto"/>
              </w:rPr>
            </w:pPr>
          </w:p>
        </w:tc>
        <w:tc>
          <w:tcPr>
            <w:tcW w:w="480" w:type="dxa"/>
            <w:vAlign w:val="bottom"/>
          </w:tcPr>
          <w:p>
            <w:pPr>
              <w:jc w:val="right"/>
              <w:spacing w:after="0"/>
              <w:rPr>
                <w:sz w:val="20"/>
                <w:szCs w:val="20"/>
                <w:color w:val="auto"/>
              </w:rPr>
            </w:pPr>
            <w:r>
              <w:rPr>
                <w:rFonts w:ascii="Times New Roman" w:cs="Times New Roman" w:eastAsia="Times New Roman" w:hAnsi="Times New Roman"/>
                <w:sz w:val="28"/>
                <w:szCs w:val="28"/>
                <w:color w:val="auto"/>
                <w:w w:val="99"/>
              </w:rPr>
              <w:t>3.4.</w:t>
            </w:r>
          </w:p>
        </w:tc>
        <w:tc>
          <w:tcPr>
            <w:tcW w:w="8360" w:type="dxa"/>
            <w:vAlign w:val="bottom"/>
          </w:tcPr>
          <w:p>
            <w:pPr>
              <w:jc w:val="right"/>
              <w:spacing w:after="0"/>
              <w:rPr>
                <w:sz w:val="20"/>
                <w:szCs w:val="20"/>
                <w:color w:val="auto"/>
              </w:rPr>
            </w:pPr>
            <w:r>
              <w:rPr>
                <w:rFonts w:ascii="Times New Roman" w:cs="Times New Roman" w:eastAsia="Times New Roman" w:hAnsi="Times New Roman"/>
                <w:sz w:val="28"/>
                <w:szCs w:val="28"/>
                <w:color w:val="auto"/>
                <w:w w:val="99"/>
              </w:rPr>
              <w:t>Оценка рыночной стоимости финансовых вложений.............................</w:t>
            </w:r>
          </w:p>
        </w:tc>
        <w:tc>
          <w:tcPr>
            <w:tcW w:w="280" w:type="dxa"/>
            <w:vAlign w:val="bottom"/>
          </w:tcPr>
          <w:p>
            <w:pPr>
              <w:jc w:val="right"/>
              <w:spacing w:after="0"/>
              <w:rPr>
                <w:sz w:val="20"/>
                <w:szCs w:val="20"/>
                <w:color w:val="auto"/>
              </w:rPr>
            </w:pPr>
            <w:r>
              <w:rPr>
                <w:rFonts w:ascii="Times New Roman" w:cs="Times New Roman" w:eastAsia="Times New Roman" w:hAnsi="Times New Roman"/>
                <w:sz w:val="28"/>
                <w:szCs w:val="28"/>
                <w:color w:val="auto"/>
                <w:w w:val="92"/>
              </w:rPr>
              <w:t>42</w:t>
            </w:r>
          </w:p>
        </w:tc>
      </w:tr>
    </w:tbl>
    <w:p>
      <w:pPr>
        <w:ind w:left="620" w:hanging="359"/>
        <w:spacing w:after="0"/>
        <w:tabs>
          <w:tab w:leader="none" w:pos="620" w:val="left"/>
        </w:tabs>
        <w:numPr>
          <w:ilvl w:val="0"/>
          <w:numId w:val="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ОЦЕНКА СТОИМОСТИ КОНТРОЛЬНЫХ И НЕКОНТРОЛЬНЫХ</w:t>
      </w:r>
    </w:p>
    <w:p>
      <w:pPr>
        <w:ind w:left="260"/>
        <w:spacing w:after="0"/>
        <w:tabs>
          <w:tab w:leader="dot" w:pos="9300" w:val="left"/>
        </w:tabs>
        <w:rPr>
          <w:sz w:val="20"/>
          <w:szCs w:val="20"/>
          <w:color w:val="auto"/>
        </w:rPr>
      </w:pPr>
      <w:r>
        <w:rPr>
          <w:rFonts w:ascii="Times New Roman" w:cs="Times New Roman" w:eastAsia="Times New Roman" w:hAnsi="Times New Roman"/>
          <w:sz w:val="28"/>
          <w:szCs w:val="28"/>
          <w:color w:val="auto"/>
        </w:rPr>
        <w:t>ПАКЕТОВ АКЦИЙ</w:t>
      </w:r>
      <w:r>
        <w:rPr>
          <w:sz w:val="20"/>
          <w:szCs w:val="20"/>
          <w:color w:val="auto"/>
        </w:rPr>
        <w:tab/>
      </w:r>
      <w:r>
        <w:rPr>
          <w:rFonts w:ascii="Times New Roman" w:cs="Times New Roman" w:eastAsia="Times New Roman" w:hAnsi="Times New Roman"/>
          <w:sz w:val="28"/>
          <w:szCs w:val="28"/>
          <w:color w:val="auto"/>
        </w:rPr>
        <w:t>44</w:t>
      </w:r>
    </w:p>
    <w:p>
      <w:pPr>
        <w:ind w:left="260"/>
        <w:spacing w:after="0"/>
        <w:tabs>
          <w:tab w:leader="dot" w:pos="9300" w:val="left"/>
        </w:tabs>
        <w:rPr>
          <w:sz w:val="20"/>
          <w:szCs w:val="20"/>
          <w:color w:val="auto"/>
        </w:rPr>
      </w:pPr>
      <w:r>
        <w:rPr>
          <w:rFonts w:ascii="Times New Roman" w:cs="Times New Roman" w:eastAsia="Times New Roman" w:hAnsi="Times New Roman"/>
          <w:sz w:val="28"/>
          <w:szCs w:val="28"/>
          <w:color w:val="auto"/>
        </w:rPr>
        <w:t>5. ОЦЕНКА ЛИКВИДАЦИОННОЙ СТОИМОСТИ ПРЕДПРИЯТИЯ</w:t>
      </w:r>
      <w:r>
        <w:rPr>
          <w:sz w:val="20"/>
          <w:szCs w:val="20"/>
          <w:color w:val="auto"/>
        </w:rPr>
        <w:tab/>
      </w:r>
      <w:r>
        <w:rPr>
          <w:rFonts w:ascii="Times New Roman" w:cs="Times New Roman" w:eastAsia="Times New Roman" w:hAnsi="Times New Roman"/>
          <w:sz w:val="28"/>
          <w:szCs w:val="28"/>
          <w:color w:val="auto"/>
        </w:rPr>
        <w:t>47</w:t>
      </w:r>
    </w:p>
    <w:p>
      <w:pPr>
        <w:ind w:left="620" w:hanging="358"/>
        <w:spacing w:after="0"/>
        <w:tabs>
          <w:tab w:leader="none" w:pos="620" w:val="left"/>
        </w:tabs>
        <w:numPr>
          <w:ilvl w:val="0"/>
          <w:numId w:val="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МЕТОДЫ ОЦЕНКИ И УПРАВЛЕНИЯ СТОИМОСТЬЮ БИЗНЕСА,</w:t>
      </w:r>
    </w:p>
    <w:p>
      <w:pPr>
        <w:ind w:left="260"/>
        <w:spacing w:after="0"/>
        <w:tabs>
          <w:tab w:leader="dot" w:pos="9300" w:val="left"/>
        </w:tabs>
        <w:rPr>
          <w:sz w:val="20"/>
          <w:szCs w:val="20"/>
          <w:color w:val="auto"/>
        </w:rPr>
      </w:pPr>
      <w:r>
        <w:rPr>
          <w:rFonts w:ascii="Times New Roman" w:cs="Times New Roman" w:eastAsia="Times New Roman" w:hAnsi="Times New Roman"/>
          <w:sz w:val="28"/>
          <w:szCs w:val="28"/>
          <w:color w:val="auto"/>
        </w:rPr>
        <w:t>ОСНОВАННЫЕ НА КОНЦЕПЦИИ ЭКОНОМИЧЕСКОЙ ПРИБЫЛИ</w:t>
      </w:r>
      <w:r>
        <w:rPr>
          <w:sz w:val="20"/>
          <w:szCs w:val="20"/>
          <w:color w:val="auto"/>
        </w:rPr>
        <w:tab/>
      </w:r>
      <w:r>
        <w:rPr>
          <w:rFonts w:ascii="Times New Roman" w:cs="Times New Roman" w:eastAsia="Times New Roman" w:hAnsi="Times New Roman"/>
          <w:sz w:val="28"/>
          <w:szCs w:val="28"/>
          <w:color w:val="auto"/>
        </w:rPr>
        <w:t>49</w:t>
      </w:r>
    </w:p>
    <w:p>
      <w:pPr>
        <w:ind w:left="260"/>
        <w:spacing w:after="0"/>
        <w:tabs>
          <w:tab w:leader="dot" w:pos="9300" w:val="left"/>
        </w:tabs>
        <w:rPr>
          <w:sz w:val="20"/>
          <w:szCs w:val="20"/>
          <w:color w:val="auto"/>
        </w:rPr>
      </w:pPr>
      <w:r>
        <w:rPr>
          <w:rFonts w:ascii="Times New Roman" w:cs="Times New Roman" w:eastAsia="Times New Roman" w:hAnsi="Times New Roman"/>
          <w:sz w:val="28"/>
          <w:szCs w:val="28"/>
          <w:color w:val="auto"/>
        </w:rPr>
        <w:t>7. ОПЦИОННЫЙ МЕТОД ОЦЕНКИ БИЗНЕСА</w:t>
      </w:r>
      <w:r>
        <w:rPr>
          <w:sz w:val="20"/>
          <w:szCs w:val="20"/>
          <w:color w:val="auto"/>
        </w:rPr>
        <w:tab/>
      </w:r>
      <w:r>
        <w:rPr>
          <w:rFonts w:ascii="Times New Roman" w:cs="Times New Roman" w:eastAsia="Times New Roman" w:hAnsi="Times New Roman"/>
          <w:sz w:val="28"/>
          <w:szCs w:val="28"/>
          <w:color w:val="auto"/>
        </w:rPr>
        <w:t>55</w:t>
      </w:r>
    </w:p>
    <w:p>
      <w:pPr>
        <w:ind w:left="620" w:hanging="358"/>
        <w:spacing w:after="0"/>
        <w:tabs>
          <w:tab w:leader="none" w:pos="620" w:val="left"/>
        </w:tabs>
        <w:numPr>
          <w:ilvl w:val="0"/>
          <w:numId w:val="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РЕСТРУКТУРИЗАЦИЯ ПРЕДПРИЯТИЯ НА ОСНОВЕ ОЦЕНКИ</w:t>
      </w:r>
    </w:p>
    <w:p>
      <w:pPr>
        <w:ind w:left="260"/>
        <w:spacing w:after="0"/>
        <w:tabs>
          <w:tab w:leader="dot" w:pos="9300" w:val="left"/>
        </w:tabs>
        <w:rPr>
          <w:sz w:val="20"/>
          <w:szCs w:val="20"/>
          <w:color w:val="auto"/>
        </w:rPr>
      </w:pPr>
      <w:r>
        <w:rPr>
          <w:rFonts w:ascii="Times New Roman" w:cs="Times New Roman" w:eastAsia="Times New Roman" w:hAnsi="Times New Roman"/>
          <w:sz w:val="28"/>
          <w:szCs w:val="28"/>
          <w:color w:val="auto"/>
        </w:rPr>
        <w:t>РЫНОЧНОЙ СТОИМОСТИ</w:t>
      </w:r>
      <w:r>
        <w:rPr>
          <w:sz w:val="20"/>
          <w:szCs w:val="20"/>
          <w:color w:val="auto"/>
        </w:rPr>
        <w:tab/>
      </w:r>
      <w:r>
        <w:rPr>
          <w:rFonts w:ascii="Times New Roman" w:cs="Times New Roman" w:eastAsia="Times New Roman" w:hAnsi="Times New Roman"/>
          <w:sz w:val="28"/>
          <w:szCs w:val="28"/>
          <w:color w:val="auto"/>
        </w:rPr>
        <w:t>59</w:t>
      </w:r>
    </w:p>
    <w:p>
      <w:pPr>
        <w:spacing w:after="0" w:line="1" w:lineRule="exact"/>
        <w:rPr>
          <w:sz w:val="20"/>
          <w:szCs w:val="20"/>
          <w:color w:val="auto"/>
        </w:rPr>
      </w:pPr>
    </w:p>
    <w:p>
      <w:pPr>
        <w:ind w:left="260"/>
        <w:spacing w:after="0"/>
        <w:tabs>
          <w:tab w:leader="dot" w:pos="9300" w:val="left"/>
        </w:tabs>
        <w:rPr>
          <w:sz w:val="20"/>
          <w:szCs w:val="20"/>
          <w:color w:val="auto"/>
        </w:rPr>
      </w:pPr>
      <w:r>
        <w:rPr>
          <w:rFonts w:ascii="Times New Roman" w:cs="Times New Roman" w:eastAsia="Times New Roman" w:hAnsi="Times New Roman"/>
          <w:sz w:val="28"/>
          <w:szCs w:val="28"/>
          <w:color w:val="auto"/>
        </w:rPr>
        <w:t>9. СПИСОК ЛИТЕРАТУРЫ</w:t>
      </w:r>
      <w:r>
        <w:rPr>
          <w:sz w:val="20"/>
          <w:szCs w:val="20"/>
          <w:color w:val="auto"/>
        </w:rPr>
        <w:tab/>
      </w:r>
      <w:r>
        <w:rPr>
          <w:rFonts w:ascii="Times New Roman" w:cs="Times New Roman" w:eastAsia="Times New Roman" w:hAnsi="Times New Roman"/>
          <w:sz w:val="28"/>
          <w:szCs w:val="28"/>
          <w:color w:val="auto"/>
        </w:rPr>
        <w:t>66</w:t>
      </w:r>
    </w:p>
    <w:p>
      <w:pPr>
        <w:sectPr>
          <w:pgSz w:w="11900" w:h="16840" w:orient="portrait"/>
          <w:cols w:equalWidth="0" w:num="1">
            <w:col w:w="9620"/>
          </w:cols>
          <w:pgMar w:left="1440" w:top="1112" w:right="844" w:bottom="16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left="9500"/>
        <w:spacing w:after="0"/>
        <w:rPr>
          <w:sz w:val="20"/>
          <w:szCs w:val="20"/>
          <w:color w:val="auto"/>
        </w:rPr>
      </w:pPr>
      <w:r>
        <w:rPr>
          <w:rFonts w:ascii="Times New Roman" w:cs="Times New Roman" w:eastAsia="Times New Roman" w:hAnsi="Times New Roman"/>
          <w:sz w:val="24"/>
          <w:szCs w:val="24"/>
          <w:color w:val="auto"/>
        </w:rPr>
        <w:t>2</w:t>
      </w:r>
    </w:p>
    <w:p>
      <w:pPr>
        <w:sectPr>
          <w:pgSz w:w="11900" w:h="16840" w:orient="portrait"/>
          <w:cols w:equalWidth="0" w:num="1">
            <w:col w:w="9620"/>
          </w:cols>
          <w:pgMar w:left="1440" w:top="1112" w:right="844" w:bottom="163" w:gutter="0" w:footer="0" w:header="0"/>
          <w:type w:val="continuous"/>
        </w:sectPr>
      </w:pPr>
    </w:p>
    <w:p>
      <w:pPr>
        <w:jc w:val="center"/>
        <w:ind w:right="-259"/>
        <w:spacing w:after="0"/>
        <w:rPr>
          <w:sz w:val="20"/>
          <w:szCs w:val="20"/>
          <w:color w:val="auto"/>
        </w:rPr>
      </w:pPr>
      <w:r>
        <w:rPr>
          <w:rFonts w:ascii="Times New Roman" w:cs="Times New Roman" w:eastAsia="Times New Roman" w:hAnsi="Times New Roman"/>
          <w:sz w:val="28"/>
          <w:szCs w:val="28"/>
          <w:color w:val="auto"/>
        </w:rPr>
        <w:t>ВВЕДЕНИЕ</w:t>
      </w:r>
    </w:p>
    <w:p>
      <w:pPr>
        <w:spacing w:after="0" w:line="322" w:lineRule="exact"/>
        <w:rPr>
          <w:sz w:val="20"/>
          <w:szCs w:val="20"/>
          <w:color w:val="auto"/>
        </w:rPr>
      </w:pPr>
    </w:p>
    <w:p>
      <w:pPr>
        <w:jc w:val="both"/>
        <w:ind w:left="260" w:firstLine="720"/>
        <w:spacing w:after="0"/>
        <w:rPr>
          <w:sz w:val="20"/>
          <w:szCs w:val="20"/>
          <w:color w:val="auto"/>
        </w:rPr>
      </w:pPr>
      <w:r>
        <w:rPr>
          <w:rFonts w:ascii="Times New Roman" w:cs="Times New Roman" w:eastAsia="Times New Roman" w:hAnsi="Times New Roman"/>
          <w:sz w:val="28"/>
          <w:szCs w:val="28"/>
          <w:color w:val="auto"/>
        </w:rPr>
        <w:t>Учебное пособие по циклу практических занятий для курса «Оценка бизнеса» предназначено для углубленного изучения практических расчетных методов оценки стоимости различного имущества и бизнеса.</w:t>
      </w:r>
    </w:p>
    <w:p>
      <w:pPr>
        <w:jc w:val="both"/>
        <w:ind w:left="260" w:firstLine="722"/>
        <w:spacing w:after="0" w:line="239" w:lineRule="auto"/>
        <w:tabs>
          <w:tab w:leader="none" w:pos="1310" w:val="left"/>
        </w:tabs>
        <w:numPr>
          <w:ilvl w:val="1"/>
          <w:numId w:val="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учебном пособии рассматривается восемь тем, в рамках которых приводятся учебные примеры и задания для самостоятельного решения. Данные темы соответствуют перечню практических занятий, приведенному в учебной программе дисциплины «Оценка бизнеса» (составитель Якушев А.А., 2007г.).</w:t>
      </w:r>
    </w:p>
    <w:p>
      <w:pPr>
        <w:spacing w:after="0" w:line="6" w:lineRule="exact"/>
        <w:rPr>
          <w:rFonts w:ascii="Times New Roman" w:cs="Times New Roman" w:eastAsia="Times New Roman" w:hAnsi="Times New Roman"/>
          <w:sz w:val="28"/>
          <w:szCs w:val="28"/>
          <w:color w:val="auto"/>
        </w:rPr>
      </w:pPr>
    </w:p>
    <w:p>
      <w:pPr>
        <w:jc w:val="both"/>
        <w:ind w:left="260" w:firstLine="722"/>
        <w:spacing w:after="0"/>
        <w:tabs>
          <w:tab w:leader="none" w:pos="1318" w:val="left"/>
        </w:tabs>
        <w:numPr>
          <w:ilvl w:val="1"/>
          <w:numId w:val="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рамках темы «Доходный подход к оценке бизнеса» разбираются учебные примеры по определению ставки дисконтирования, денежного потока, стоимости бизнеса методами дисконтированного денежного потока и капитализации дохода, стоимости бизнеса в постпрогнозном периоде и в условиях финансовой неопределенности.</w:t>
      </w:r>
    </w:p>
    <w:p>
      <w:pPr>
        <w:ind w:left="260" w:firstLine="720"/>
        <w:spacing w:after="0" w:line="239"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Тема «Рыночный подход к оценке бизнеса» включает учебные примеры расчету стоимости бизнеса и ценовых мультипликаторов.</w:t>
      </w:r>
    </w:p>
    <w:p>
      <w:pPr>
        <w:spacing w:after="0" w:line="1" w:lineRule="exact"/>
        <w:rPr>
          <w:rFonts w:ascii="Times New Roman" w:cs="Times New Roman" w:eastAsia="Times New Roman" w:hAnsi="Times New Roman"/>
          <w:sz w:val="28"/>
          <w:szCs w:val="28"/>
          <w:color w:val="auto"/>
        </w:rPr>
      </w:pPr>
    </w:p>
    <w:p>
      <w:pPr>
        <w:jc w:val="both"/>
        <w:ind w:left="260" w:firstLine="722"/>
        <w:spacing w:after="0"/>
        <w:tabs>
          <w:tab w:leader="none" w:pos="1361" w:val="left"/>
        </w:tabs>
        <w:numPr>
          <w:ilvl w:val="1"/>
          <w:numId w:val="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теме « Затратный подход к оценке бизнеса» рассматриваются учебные примеры по оценке стоимости недвижимости, машин и оборудования, нематериальных активов и финансовых вложений.</w:t>
      </w:r>
    </w:p>
    <w:p>
      <w:pPr>
        <w:jc w:val="both"/>
        <w:ind w:left="260" w:firstLine="721"/>
        <w:spacing w:after="0"/>
        <w:tabs>
          <w:tab w:leader="none" w:pos="1330" w:val="left"/>
        </w:tabs>
        <w:numPr>
          <w:ilvl w:val="1"/>
          <w:numId w:val="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рамках темы «Оценка стоимости контрольных и неконтрольных пакетов акций» раскрываются особенности определения стоимости пакетов акций исходя из используемого метода расчета стоимости бизнеса.</w:t>
      </w:r>
    </w:p>
    <w:p>
      <w:pPr>
        <w:jc w:val="both"/>
        <w:ind w:left="260" w:firstLine="72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Тема «Оценка ликвидационной стоимости предприятии» содержит учебный пример, показывающий особенности расчета ликвидационной стоимости предприятия.</w:t>
      </w:r>
    </w:p>
    <w:p>
      <w:pPr>
        <w:jc w:val="both"/>
        <w:ind w:left="260" w:firstLine="722"/>
        <w:spacing w:after="0"/>
        <w:tabs>
          <w:tab w:leader="none" w:pos="1449" w:val="left"/>
        </w:tabs>
        <w:numPr>
          <w:ilvl w:val="1"/>
          <w:numId w:val="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теме «Методы оценки и управления стоимостью бизнеса, основанные на концепции экономической прибыли» рассматриваются учебные примеры по расчету экономической добавленной стоимости «EVA»</w:t>
      </w:r>
    </w:p>
    <w:p>
      <w:pPr>
        <w:ind w:left="480" w:hanging="218"/>
        <w:spacing w:after="0"/>
        <w:tabs>
          <w:tab w:leader="none" w:pos="480" w:val="left"/>
        </w:tabs>
        <w:numPr>
          <w:ilvl w:val="0"/>
          <w:numId w:val="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акционерной добавленной стоимости «SVA».</w:t>
      </w:r>
    </w:p>
    <w:p>
      <w:pPr>
        <w:jc w:val="both"/>
        <w:ind w:left="260" w:firstLine="720"/>
        <w:spacing w:after="0"/>
        <w:rPr>
          <w:sz w:val="20"/>
          <w:szCs w:val="20"/>
          <w:color w:val="auto"/>
        </w:rPr>
      </w:pPr>
      <w:r>
        <w:rPr>
          <w:rFonts w:ascii="Times New Roman" w:cs="Times New Roman" w:eastAsia="Times New Roman" w:hAnsi="Times New Roman"/>
          <w:sz w:val="28"/>
          <w:szCs w:val="28"/>
          <w:color w:val="auto"/>
        </w:rPr>
        <w:t>Тема «Опционный метод оценки» содержит пример расчета стоимости реального опциона.</w:t>
      </w:r>
    </w:p>
    <w:p>
      <w:pPr>
        <w:jc w:val="both"/>
        <w:ind w:left="260" w:firstLine="720"/>
        <w:spacing w:after="0" w:line="255" w:lineRule="auto"/>
        <w:rPr>
          <w:sz w:val="20"/>
          <w:szCs w:val="20"/>
          <w:color w:val="auto"/>
        </w:rPr>
      </w:pPr>
      <w:r>
        <w:rPr>
          <w:rFonts w:ascii="Times New Roman" w:cs="Times New Roman" w:eastAsia="Times New Roman" w:hAnsi="Times New Roman"/>
          <w:sz w:val="28"/>
          <w:szCs w:val="28"/>
          <w:color w:val="auto"/>
        </w:rPr>
        <w:t>Тема «Реструктуризация предприятия на основе оценки стоимости бизнеса» включает учебные примеры по расчету изменения стоимости бизнеса в результате проведения реструктуризации.</w:t>
      </w:r>
    </w:p>
    <w:p>
      <w:pPr>
        <w:sectPr>
          <w:pgSz w:w="11900" w:h="16840" w:orient="portrait"/>
          <w:cols w:equalWidth="0" w:num="1">
            <w:col w:w="9620"/>
          </w:cols>
          <w:pgMar w:left="1440" w:top="1112" w:right="844" w:bottom="16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5" w:lineRule="exact"/>
        <w:rPr>
          <w:sz w:val="20"/>
          <w:szCs w:val="20"/>
          <w:color w:val="auto"/>
        </w:rPr>
      </w:pPr>
    </w:p>
    <w:p>
      <w:pPr>
        <w:ind w:left="9500"/>
        <w:spacing w:after="0"/>
        <w:rPr>
          <w:sz w:val="20"/>
          <w:szCs w:val="20"/>
          <w:color w:val="auto"/>
        </w:rPr>
      </w:pPr>
      <w:r>
        <w:rPr>
          <w:rFonts w:ascii="Times New Roman" w:cs="Times New Roman" w:eastAsia="Times New Roman" w:hAnsi="Times New Roman"/>
          <w:sz w:val="24"/>
          <w:szCs w:val="24"/>
          <w:color w:val="auto"/>
        </w:rPr>
        <w:t>3</w:t>
      </w:r>
    </w:p>
    <w:p>
      <w:pPr>
        <w:sectPr>
          <w:pgSz w:w="11900" w:h="16840" w:orient="portrait"/>
          <w:cols w:equalWidth="0" w:num="1">
            <w:col w:w="9620"/>
          </w:cols>
          <w:pgMar w:left="1440" w:top="1112" w:right="844" w:bottom="163" w:gutter="0" w:footer="0" w:header="0"/>
          <w:type w:val="continuous"/>
        </w:sectPr>
      </w:pPr>
    </w:p>
    <w:p>
      <w:pPr>
        <w:ind w:left="2280" w:hanging="368"/>
        <w:spacing w:after="0"/>
        <w:tabs>
          <w:tab w:leader="none" w:pos="2280" w:val="left"/>
        </w:tabs>
        <w:numPr>
          <w:ilvl w:val="0"/>
          <w:numId w:val="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ДОХОДНЫЙ ПОДХОД К ОЦЕНКЕ БИЗНЕСА</w:t>
      </w:r>
    </w:p>
    <w:p>
      <w:pPr>
        <w:spacing w:after="0" w:line="322" w:lineRule="exact"/>
        <w:rPr>
          <w:sz w:val="20"/>
          <w:szCs w:val="20"/>
          <w:color w:val="auto"/>
        </w:rPr>
      </w:pPr>
    </w:p>
    <w:p>
      <w:pPr>
        <w:jc w:val="center"/>
        <w:ind w:right="-239"/>
        <w:spacing w:after="0"/>
        <w:rPr>
          <w:sz w:val="20"/>
          <w:szCs w:val="20"/>
          <w:color w:val="auto"/>
        </w:rPr>
      </w:pPr>
      <w:r>
        <w:rPr>
          <w:rFonts w:ascii="Times New Roman" w:cs="Times New Roman" w:eastAsia="Times New Roman" w:hAnsi="Times New Roman"/>
          <w:sz w:val="28"/>
          <w:szCs w:val="28"/>
          <w:color w:val="auto"/>
        </w:rPr>
        <w:t>ДЕМОНСТРАЦИОННЫЕ ЗАДАЧИ</w:t>
      </w:r>
    </w:p>
    <w:p>
      <w:pPr>
        <w:spacing w:after="0" w:line="321" w:lineRule="exact"/>
        <w:rPr>
          <w:sz w:val="20"/>
          <w:szCs w:val="20"/>
          <w:color w:val="auto"/>
        </w:rPr>
      </w:pPr>
    </w:p>
    <w:p>
      <w:pPr>
        <w:jc w:val="both"/>
        <w:ind w:left="260" w:firstLine="713"/>
        <w:spacing w:after="0" w:line="221" w:lineRule="auto"/>
        <w:rPr>
          <w:sz w:val="20"/>
          <w:szCs w:val="20"/>
          <w:color w:val="auto"/>
        </w:rPr>
      </w:pPr>
      <w:r>
        <w:rPr>
          <w:rFonts w:ascii="Times New Roman" w:cs="Times New Roman" w:eastAsia="Times New Roman" w:hAnsi="Times New Roman"/>
          <w:sz w:val="28"/>
          <w:szCs w:val="28"/>
          <w:u w:val="single" w:color="auto"/>
          <w:color w:val="auto"/>
        </w:rPr>
        <w:t>Задача</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u w:val="single" w:color="auto"/>
          <w:color w:val="auto"/>
        </w:rPr>
        <w:t>1.1.</w:t>
      </w:r>
      <w:r>
        <w:rPr>
          <w:rFonts w:ascii="Times New Roman" w:cs="Times New Roman" w:eastAsia="Times New Roman" w:hAnsi="Times New Roman"/>
          <w:sz w:val="28"/>
          <w:szCs w:val="28"/>
          <w:color w:val="auto"/>
        </w:rPr>
        <w:t xml:space="preserve"> Определите норму дохода для инвестиций отечественного резидента в покупку акций закрытой компании с численностью занятых 300 человек, если известно, что: доходность государственных облигаций в реальном выражении равна 3% (r), индекс инфляции - 10% (s); среднерыночная доходность на фондовом рынке - 20% (R</w:t>
      </w:r>
      <w:r>
        <w:rPr>
          <w:rFonts w:ascii="Times New Roman" w:cs="Times New Roman" w:eastAsia="Times New Roman" w:hAnsi="Times New Roman"/>
          <w:sz w:val="36"/>
          <w:szCs w:val="36"/>
          <w:color w:val="auto"/>
          <w:vertAlign w:val="subscript"/>
        </w:rPr>
        <w:t>m</w:t>
      </w:r>
      <w:r>
        <w:rPr>
          <w:rFonts w:ascii="Times New Roman" w:cs="Times New Roman" w:eastAsia="Times New Roman" w:hAnsi="Times New Roman"/>
          <w:sz w:val="28"/>
          <w:szCs w:val="28"/>
          <w:color w:val="auto"/>
        </w:rPr>
        <w:t>); дополнительная премия за страновой риск - 8% (S</w:t>
      </w:r>
      <w:r>
        <w:rPr>
          <w:rFonts w:ascii="Times New Roman" w:cs="Times New Roman" w:eastAsia="Times New Roman" w:hAnsi="Times New Roman"/>
          <w:sz w:val="36"/>
          <w:szCs w:val="36"/>
          <w:color w:val="auto"/>
          <w:vertAlign w:val="subscript"/>
        </w:rPr>
        <w:t>3</w:t>
      </w:r>
      <w:r>
        <w:rPr>
          <w:rFonts w:ascii="Times New Roman" w:cs="Times New Roman" w:eastAsia="Times New Roman" w:hAnsi="Times New Roman"/>
          <w:sz w:val="28"/>
          <w:szCs w:val="28"/>
          <w:color w:val="auto"/>
        </w:rPr>
        <w:t>); дополнительная премия за закрытость компании (S</w:t>
      </w:r>
      <w:r>
        <w:rPr>
          <w:rFonts w:ascii="Times New Roman" w:cs="Times New Roman" w:eastAsia="Times New Roman" w:hAnsi="Times New Roman"/>
          <w:sz w:val="36"/>
          <w:szCs w:val="36"/>
          <w:color w:val="auto"/>
          <w:vertAlign w:val="subscript"/>
        </w:rPr>
        <w:t>2</w:t>
      </w:r>
      <w:r>
        <w:rPr>
          <w:rFonts w:ascii="Times New Roman" w:cs="Times New Roman" w:eastAsia="Times New Roman" w:hAnsi="Times New Roman"/>
          <w:sz w:val="28"/>
          <w:szCs w:val="28"/>
          <w:color w:val="auto"/>
        </w:rPr>
        <w:t xml:space="preserve">) - на уровне международно принятой аналогичной премии; дополнительная премия за инвестиции в малый бизнес - 8% (S </w:t>
      </w:r>
      <w:r>
        <w:rPr>
          <w:rFonts w:ascii="Times New Roman" w:cs="Times New Roman" w:eastAsia="Times New Roman" w:hAnsi="Times New Roman"/>
          <w:sz w:val="36"/>
          <w:szCs w:val="36"/>
          <w:color w:val="auto"/>
          <w:vertAlign w:val="subscript"/>
        </w:rPr>
        <w:t>1</w:t>
      </w:r>
      <w:r>
        <w:rPr>
          <w:rFonts w:ascii="Times New Roman" w:cs="Times New Roman" w:eastAsia="Times New Roman" w:hAnsi="Times New Roman"/>
          <w:sz w:val="28"/>
          <w:szCs w:val="28"/>
          <w:color w:val="auto"/>
        </w:rPr>
        <w:t>); текущая доходность акций рассматриваемой компании за прошлый год в среднем колебалась относительно своей средней величины на 5%; текущая среднерыночная доходность на фондовом рынке в прошлом году колебалась относительно своей средней величины на 2 %.</w:t>
      </w:r>
    </w:p>
    <w:p>
      <w:pPr>
        <w:spacing w:after="0" w:line="289" w:lineRule="exact"/>
        <w:rPr>
          <w:sz w:val="20"/>
          <w:szCs w:val="20"/>
          <w:color w:val="auto"/>
        </w:rPr>
      </w:pPr>
    </w:p>
    <w:p>
      <w:pPr>
        <w:ind w:left="980"/>
        <w:spacing w:after="0"/>
        <w:rPr>
          <w:sz w:val="20"/>
          <w:szCs w:val="20"/>
          <w:color w:val="auto"/>
        </w:rPr>
      </w:pPr>
      <w:r>
        <w:rPr>
          <w:rFonts w:ascii="Times New Roman" w:cs="Times New Roman" w:eastAsia="Times New Roman" w:hAnsi="Times New Roman"/>
          <w:sz w:val="28"/>
          <w:szCs w:val="28"/>
          <w:u w:val="single" w:color="auto"/>
          <w:color w:val="auto"/>
        </w:rPr>
        <w:t>Решение.</w:t>
      </w:r>
    </w:p>
    <w:p>
      <w:pPr>
        <w:spacing w:after="0" w:line="1" w:lineRule="exact"/>
        <w:rPr>
          <w:sz w:val="20"/>
          <w:szCs w:val="20"/>
          <w:color w:val="auto"/>
        </w:rPr>
      </w:pPr>
    </w:p>
    <w:p>
      <w:pPr>
        <w:jc w:val="both"/>
        <w:ind w:left="280" w:firstLine="709"/>
        <w:spacing w:after="0" w:line="239" w:lineRule="auto"/>
        <w:rPr>
          <w:sz w:val="20"/>
          <w:szCs w:val="20"/>
          <w:color w:val="auto"/>
        </w:rPr>
      </w:pPr>
      <w:r>
        <w:rPr>
          <w:rFonts w:ascii="Times New Roman" w:cs="Times New Roman" w:eastAsia="Times New Roman" w:hAnsi="Times New Roman"/>
          <w:sz w:val="28"/>
          <w:szCs w:val="28"/>
          <w:color w:val="auto"/>
        </w:rPr>
        <w:t>Норма дохода (ставка дисконта), судя по приведенным исходным данным, должна определяться согласно модели оценки капитальных активов.</w:t>
      </w:r>
    </w:p>
    <w:p>
      <w:pPr>
        <w:spacing w:after="0" w:line="2" w:lineRule="exact"/>
        <w:rPr>
          <w:sz w:val="20"/>
          <w:szCs w:val="20"/>
          <w:color w:val="auto"/>
        </w:rPr>
      </w:pPr>
    </w:p>
    <w:p>
      <w:pPr>
        <w:jc w:val="both"/>
        <w:ind w:left="280" w:firstLine="709"/>
        <w:spacing w:after="0" w:line="271" w:lineRule="auto"/>
        <w:rPr>
          <w:sz w:val="20"/>
          <w:szCs w:val="20"/>
          <w:color w:val="auto"/>
        </w:rPr>
      </w:pPr>
      <w:r>
        <w:rPr>
          <w:rFonts w:ascii="Times New Roman" w:cs="Times New Roman" w:eastAsia="Times New Roman" w:hAnsi="Times New Roman"/>
          <w:sz w:val="28"/>
          <w:szCs w:val="28"/>
          <w:color w:val="auto"/>
        </w:rPr>
        <w:t>Номинальная безрисковая ставка дохода R определяется по формуле Фишера:</w:t>
      </w:r>
    </w:p>
    <w:p>
      <w:pPr>
        <w:spacing w:after="0" w:line="239" w:lineRule="exact"/>
        <w:rPr>
          <w:sz w:val="20"/>
          <w:szCs w:val="20"/>
          <w:color w:val="auto"/>
        </w:rPr>
      </w:pPr>
    </w:p>
    <w:p>
      <w:pPr>
        <w:ind w:left="2140"/>
        <w:spacing w:after="0"/>
        <w:rPr>
          <w:sz w:val="20"/>
          <w:szCs w:val="20"/>
          <w:color w:val="auto"/>
        </w:rPr>
      </w:pPr>
      <w:r>
        <w:rPr>
          <w:rFonts w:ascii="Times New Roman" w:cs="Times New Roman" w:eastAsia="Times New Roman" w:hAnsi="Times New Roman"/>
          <w:sz w:val="28"/>
          <w:szCs w:val="28"/>
          <w:color w:val="auto"/>
        </w:rPr>
        <w:t>R = r + s + r·s = 0,03 + 0,10 + 0,03 · 0,10 = 0,133.</w:t>
      </w:r>
    </w:p>
    <w:p>
      <w:pPr>
        <w:spacing w:after="0" w:line="322" w:lineRule="exact"/>
        <w:rPr>
          <w:sz w:val="20"/>
          <w:szCs w:val="20"/>
          <w:color w:val="auto"/>
        </w:rPr>
      </w:pPr>
    </w:p>
    <w:p>
      <w:pPr>
        <w:jc w:val="both"/>
        <w:ind w:left="280" w:firstLine="709"/>
        <w:spacing w:after="0" w:line="245" w:lineRule="auto"/>
        <w:rPr>
          <w:sz w:val="20"/>
          <w:szCs w:val="20"/>
          <w:color w:val="auto"/>
        </w:rPr>
      </w:pPr>
      <w:r>
        <w:rPr>
          <w:rFonts w:ascii="Times New Roman" w:cs="Times New Roman" w:eastAsia="Times New Roman" w:hAnsi="Times New Roman"/>
          <w:sz w:val="28"/>
          <w:szCs w:val="28"/>
          <w:color w:val="auto"/>
        </w:rPr>
        <w:t>Коэффициент «бета» - исходя из его экономического смысла как меры относительного размера колеблемости дохода с рубля, вложенного в оцениваемый бизнес по сравнению с колеблемостью дохода с рубля вложений в любой бизнес на фондовом рынке в целом - может быть здесь определен отношением амплитуды колебаний за прошедший период доходности с акций компании к амплитуде колебаний среднерыночной доходности на всем фондовом рынке, т.е.:</w:t>
      </w:r>
    </w:p>
    <w:p>
      <w:pPr>
        <w:spacing w:after="0" w:line="274" w:lineRule="exact"/>
        <w:rPr>
          <w:sz w:val="20"/>
          <w:szCs w:val="20"/>
          <w:color w:val="auto"/>
        </w:rPr>
      </w:pPr>
    </w:p>
    <w:p>
      <w:pPr>
        <w:ind w:left="4080" w:hanging="204"/>
        <w:spacing w:after="0"/>
        <w:tabs>
          <w:tab w:leader="none" w:pos="4080" w:val="left"/>
        </w:tabs>
        <w:numPr>
          <w:ilvl w:val="3"/>
          <w:numId w:val="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5% / 2% = 2,5.</w:t>
      </w:r>
    </w:p>
    <w:p>
      <w:pPr>
        <w:spacing w:after="0" w:line="322" w:lineRule="exact"/>
        <w:rPr>
          <w:rFonts w:ascii="Times New Roman" w:cs="Times New Roman" w:eastAsia="Times New Roman" w:hAnsi="Times New Roman"/>
          <w:sz w:val="28"/>
          <w:szCs w:val="28"/>
          <w:color w:val="auto"/>
        </w:rPr>
      </w:pPr>
    </w:p>
    <w:p>
      <w:pPr>
        <w:ind w:left="1240" w:hanging="258"/>
        <w:spacing w:after="0"/>
        <w:tabs>
          <w:tab w:leader="none" w:pos="1240" w:val="left"/>
        </w:tabs>
        <w:numPr>
          <w:ilvl w:val="0"/>
          <w:numId w:val="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итоге искомая норма дохода равна:</w:t>
      </w:r>
    </w:p>
    <w:p>
      <w:pPr>
        <w:spacing w:after="0" w:line="190" w:lineRule="exact"/>
        <w:rPr>
          <w:rFonts w:ascii="Times New Roman" w:cs="Times New Roman" w:eastAsia="Times New Roman" w:hAnsi="Times New Roman"/>
          <w:sz w:val="28"/>
          <w:szCs w:val="28"/>
          <w:color w:val="auto"/>
        </w:rPr>
      </w:pPr>
    </w:p>
    <w:p>
      <w:pPr>
        <w:ind w:left="3120" w:hanging="140"/>
        <w:spacing w:after="0"/>
        <w:tabs>
          <w:tab w:leader="none" w:pos="3120" w:val="left"/>
        </w:tabs>
        <w:numPr>
          <w:ilvl w:val="2"/>
          <w:numId w:val="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R + β (R</w:t>
      </w:r>
      <w:r>
        <w:rPr>
          <w:rFonts w:ascii="Times New Roman" w:cs="Times New Roman" w:eastAsia="Times New Roman" w:hAnsi="Times New Roman"/>
          <w:sz w:val="36"/>
          <w:szCs w:val="36"/>
          <w:color w:val="auto"/>
          <w:vertAlign w:val="subscript"/>
        </w:rPr>
        <w:t>m</w:t>
      </w:r>
      <w:r>
        <w:rPr>
          <w:rFonts w:ascii="Times New Roman" w:cs="Times New Roman" w:eastAsia="Times New Roman" w:hAnsi="Times New Roman"/>
          <w:sz w:val="28"/>
          <w:szCs w:val="28"/>
          <w:color w:val="auto"/>
        </w:rPr>
        <w:t xml:space="preserve"> - R) + S</w:t>
      </w:r>
      <w:r>
        <w:rPr>
          <w:rFonts w:ascii="Times New Roman" w:cs="Times New Roman" w:eastAsia="Times New Roman" w:hAnsi="Times New Roman"/>
          <w:sz w:val="36"/>
          <w:szCs w:val="36"/>
          <w:color w:val="auto"/>
          <w:vertAlign w:val="subscript"/>
        </w:rPr>
        <w:t>1</w:t>
      </w:r>
      <w:r>
        <w:rPr>
          <w:rFonts w:ascii="Times New Roman" w:cs="Times New Roman" w:eastAsia="Times New Roman" w:hAnsi="Times New Roman"/>
          <w:sz w:val="28"/>
          <w:szCs w:val="28"/>
          <w:color w:val="auto"/>
        </w:rPr>
        <w:t xml:space="preserve"> + S</w:t>
      </w:r>
      <w:r>
        <w:rPr>
          <w:rFonts w:ascii="Times New Roman" w:cs="Times New Roman" w:eastAsia="Times New Roman" w:hAnsi="Times New Roman"/>
          <w:sz w:val="36"/>
          <w:szCs w:val="36"/>
          <w:color w:val="auto"/>
          <w:vertAlign w:val="subscript"/>
        </w:rPr>
        <w:t>2</w:t>
      </w:r>
      <w:r>
        <w:rPr>
          <w:rFonts w:ascii="Times New Roman" w:cs="Times New Roman" w:eastAsia="Times New Roman" w:hAnsi="Times New Roman"/>
          <w:sz w:val="28"/>
          <w:szCs w:val="28"/>
          <w:color w:val="auto"/>
        </w:rPr>
        <w:t xml:space="preserve"> + S</w:t>
      </w:r>
      <w:r>
        <w:rPr>
          <w:rFonts w:ascii="Times New Roman" w:cs="Times New Roman" w:eastAsia="Times New Roman" w:hAnsi="Times New Roman"/>
          <w:sz w:val="36"/>
          <w:szCs w:val="36"/>
          <w:color w:val="auto"/>
          <w:vertAlign w:val="subscript"/>
        </w:rPr>
        <w:t>3</w:t>
      </w:r>
      <w:r>
        <w:rPr>
          <w:rFonts w:ascii="Times New Roman" w:cs="Times New Roman" w:eastAsia="Times New Roman" w:hAnsi="Times New Roman"/>
          <w:sz w:val="28"/>
          <w:szCs w:val="28"/>
          <w:color w:val="auto"/>
        </w:rPr>
        <w:t xml:space="preserve"> =</w:t>
      </w:r>
    </w:p>
    <w:p>
      <w:pPr>
        <w:spacing w:after="0" w:line="39" w:lineRule="exact"/>
        <w:rPr>
          <w:rFonts w:ascii="Times New Roman" w:cs="Times New Roman" w:eastAsia="Times New Roman" w:hAnsi="Times New Roman"/>
          <w:sz w:val="28"/>
          <w:szCs w:val="28"/>
          <w:color w:val="auto"/>
        </w:rPr>
      </w:pPr>
    </w:p>
    <w:p>
      <w:pPr>
        <w:ind w:left="1860" w:hanging="230"/>
        <w:spacing w:after="0"/>
        <w:tabs>
          <w:tab w:leader="none" w:pos="1860" w:val="left"/>
        </w:tabs>
        <w:numPr>
          <w:ilvl w:val="1"/>
          <w:numId w:val="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0,133 + 2,5(0,20 - 0,133) + (5/6)·0,133 = 0,411 (41,1%).</w:t>
      </w:r>
    </w:p>
    <w:p>
      <w:pPr>
        <w:spacing w:after="0" w:line="321" w:lineRule="exact"/>
        <w:rPr>
          <w:sz w:val="20"/>
          <w:szCs w:val="20"/>
          <w:color w:val="auto"/>
        </w:rPr>
      </w:pPr>
    </w:p>
    <w:p>
      <w:pPr>
        <w:jc w:val="both"/>
        <w:ind w:left="280" w:firstLine="709"/>
        <w:spacing w:after="0" w:line="247" w:lineRule="auto"/>
        <w:rPr>
          <w:sz w:val="20"/>
          <w:szCs w:val="20"/>
          <w:color w:val="auto"/>
        </w:rPr>
      </w:pPr>
      <w:r>
        <w:rPr>
          <w:rFonts w:ascii="Times New Roman" w:cs="Times New Roman" w:eastAsia="Times New Roman" w:hAnsi="Times New Roman"/>
          <w:sz w:val="28"/>
          <w:szCs w:val="28"/>
          <w:color w:val="auto"/>
        </w:rPr>
        <w:t>Из дополнительных премий S задействована только поправка на закрытый характер оцениваемой компании (так как рассматриваемое предприятие, согласно условиям задачи, действительно является закрытым). Дополнительная премия за инвестирование в малый бизнес не сделана, так как численность занятых на предприятии превышает предельное для малого</w:t>
      </w:r>
    </w:p>
    <w:p>
      <w:pPr>
        <w:sectPr>
          <w:pgSz w:w="11900" w:h="16840" w:orient="portrait"/>
          <w:cols w:equalWidth="0" w:num="1">
            <w:col w:w="9620"/>
          </w:cols>
          <w:pgMar w:left="1440" w:top="1112" w:right="844" w:bottom="163" w:gutter="0" w:footer="0" w:header="0"/>
        </w:sectPr>
      </w:pPr>
    </w:p>
    <w:p>
      <w:pPr>
        <w:spacing w:after="0" w:line="189" w:lineRule="exact"/>
        <w:rPr>
          <w:sz w:val="20"/>
          <w:szCs w:val="20"/>
          <w:color w:val="auto"/>
        </w:rPr>
      </w:pPr>
    </w:p>
    <w:p>
      <w:pPr>
        <w:ind w:left="9500"/>
        <w:spacing w:after="0"/>
        <w:rPr>
          <w:sz w:val="20"/>
          <w:szCs w:val="20"/>
          <w:color w:val="auto"/>
        </w:rPr>
      </w:pPr>
      <w:r>
        <w:rPr>
          <w:rFonts w:ascii="Times New Roman" w:cs="Times New Roman" w:eastAsia="Times New Roman" w:hAnsi="Times New Roman"/>
          <w:sz w:val="24"/>
          <w:szCs w:val="24"/>
          <w:color w:val="auto"/>
        </w:rPr>
        <w:t>4</w:t>
      </w:r>
    </w:p>
    <w:p>
      <w:pPr>
        <w:sectPr>
          <w:pgSz w:w="11900" w:h="16840" w:orient="portrait"/>
          <w:cols w:equalWidth="0" w:num="1">
            <w:col w:w="9620"/>
          </w:cols>
          <w:pgMar w:left="1440" w:top="1112" w:right="844" w:bottom="163" w:gutter="0" w:footer="0" w:header="0"/>
          <w:type w:val="continuous"/>
        </w:sectPr>
      </w:pPr>
    </w:p>
    <w:p>
      <w:pPr>
        <w:jc w:val="both"/>
        <w:ind w:left="280"/>
        <w:spacing w:after="0" w:line="228" w:lineRule="auto"/>
        <w:rPr>
          <w:sz w:val="20"/>
          <w:szCs w:val="20"/>
          <w:color w:val="auto"/>
        </w:rPr>
      </w:pPr>
      <w:r>
        <w:rPr>
          <w:rFonts w:ascii="Times New Roman" w:cs="Times New Roman" w:eastAsia="Times New Roman" w:hAnsi="Times New Roman"/>
          <w:sz w:val="28"/>
          <w:szCs w:val="28"/>
          <w:color w:val="auto"/>
        </w:rPr>
        <w:t>бизнеса количество занятых. Страновой риск для отечественного резидента уже косвенно учтен в размере рыночной премии за риск (R</w:t>
      </w:r>
      <w:r>
        <w:rPr>
          <w:rFonts w:ascii="Times New Roman" w:cs="Times New Roman" w:eastAsia="Times New Roman" w:hAnsi="Times New Roman"/>
          <w:sz w:val="36"/>
          <w:szCs w:val="36"/>
          <w:color w:val="auto"/>
          <w:vertAlign w:val="subscript"/>
        </w:rPr>
        <w:t>m</w:t>
      </w:r>
      <w:r>
        <w:rPr>
          <w:rFonts w:ascii="Times New Roman" w:cs="Times New Roman" w:eastAsia="Times New Roman" w:hAnsi="Times New Roman"/>
          <w:sz w:val="28"/>
          <w:szCs w:val="28"/>
          <w:color w:val="auto"/>
        </w:rPr>
        <w:t xml:space="preserve"> - R) и в уровне безрисковой ставки дохода R</w:t>
      </w:r>
      <w:r>
        <w:rPr>
          <w:rFonts w:ascii="Times New Roman" w:cs="Times New Roman" w:eastAsia="Times New Roman" w:hAnsi="Times New Roman"/>
          <w:sz w:val="28"/>
          <w:szCs w:val="28"/>
          <w:i w:val="1"/>
          <w:iCs w:val="1"/>
          <w:color w:val="auto"/>
        </w:rPr>
        <w:t>.</w:t>
      </w:r>
    </w:p>
    <w:p>
      <w:pPr>
        <w:spacing w:after="0" w:line="283" w:lineRule="exact"/>
        <w:rPr>
          <w:sz w:val="20"/>
          <w:szCs w:val="20"/>
          <w:color w:val="auto"/>
        </w:rPr>
      </w:pPr>
    </w:p>
    <w:p>
      <w:pPr>
        <w:jc w:val="both"/>
        <w:ind w:left="260" w:firstLine="720"/>
        <w:spacing w:after="0" w:line="245" w:lineRule="auto"/>
        <w:rPr>
          <w:sz w:val="20"/>
          <w:szCs w:val="20"/>
          <w:color w:val="auto"/>
        </w:rPr>
      </w:pPr>
      <w:r>
        <w:rPr>
          <w:rFonts w:ascii="Times New Roman" w:cs="Times New Roman" w:eastAsia="Times New Roman" w:hAnsi="Times New Roman"/>
          <w:sz w:val="28"/>
          <w:szCs w:val="28"/>
          <w:u w:val="single" w:color="auto"/>
          <w:color w:val="auto"/>
        </w:rPr>
        <w:t>Задача</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u w:val="single" w:color="auto"/>
          <w:color w:val="auto"/>
        </w:rPr>
        <w:t>1.2.</w:t>
      </w:r>
      <w:r>
        <w:rPr>
          <w:rFonts w:ascii="Times New Roman" w:cs="Times New Roman" w:eastAsia="Times New Roman" w:hAnsi="Times New Roman"/>
          <w:sz w:val="28"/>
          <w:szCs w:val="28"/>
          <w:color w:val="auto"/>
        </w:rPr>
        <w:t xml:space="preserve"> Средняя чистая прибыль предприятия, намеревающегося сделать инвестиции в расширение производства ранее освоенной продукции, составила в год в реальном выражении 380 000 руб. Остаточная балансовая стоимость активов предприятия равняется 1 530 000 руб. Первоначальная балансовая стоимость активов предприятия составила 2 300 000 руб. Какую учитывающую риски бизнеса ставку дисконта можно применить для дисконтирования доходов, ожидаемых от расширения производства?</w:t>
      </w:r>
    </w:p>
    <w:p>
      <w:pPr>
        <w:spacing w:after="0" w:line="275" w:lineRule="exact"/>
        <w:rPr>
          <w:sz w:val="20"/>
          <w:szCs w:val="20"/>
          <w:color w:val="auto"/>
        </w:rPr>
      </w:pPr>
    </w:p>
    <w:p>
      <w:pPr>
        <w:ind w:left="980"/>
        <w:spacing w:after="0"/>
        <w:rPr>
          <w:sz w:val="20"/>
          <w:szCs w:val="20"/>
          <w:color w:val="auto"/>
        </w:rPr>
      </w:pPr>
      <w:r>
        <w:rPr>
          <w:rFonts w:ascii="Times New Roman" w:cs="Times New Roman" w:eastAsia="Times New Roman" w:hAnsi="Times New Roman"/>
          <w:sz w:val="28"/>
          <w:szCs w:val="28"/>
          <w:u w:val="single" w:color="auto"/>
          <w:color w:val="auto"/>
        </w:rPr>
        <w:t>Решение.</w:t>
      </w:r>
    </w:p>
    <w:p>
      <w:pPr>
        <w:jc w:val="both"/>
        <w:ind w:left="260" w:firstLine="716"/>
        <w:spacing w:after="0"/>
        <w:rPr>
          <w:sz w:val="20"/>
          <w:szCs w:val="20"/>
          <w:color w:val="auto"/>
        </w:rPr>
      </w:pPr>
      <w:r>
        <w:rPr>
          <w:rFonts w:ascii="Times New Roman" w:cs="Times New Roman" w:eastAsia="Times New Roman" w:hAnsi="Times New Roman"/>
          <w:sz w:val="28"/>
          <w:szCs w:val="28"/>
          <w:color w:val="auto"/>
        </w:rPr>
        <w:t>Норма дохода, предъявляемая к доходам от того же (и с той же мерой риска) бизнеса, который предприятие уже занимается, может быть принята на уровне среднего дохода с ранее инвестированного в данный бизнес капитала. При этом достигнутый показатель «доход на инвестированный капитал» желательно рассчитывать применительно к средствам, действительно потраченным на приобретение нужного для оцениваемого бизнеса имущества. Эти средства отражаются фактической стоимостью покупки соответствующего имущества, по которой имущество ставится на баланс предприятия.</w:t>
      </w:r>
    </w:p>
    <w:p>
      <w:pPr>
        <w:jc w:val="center"/>
        <w:ind w:right="-419"/>
        <w:spacing w:after="0"/>
        <w:rPr>
          <w:sz w:val="20"/>
          <w:szCs w:val="20"/>
          <w:color w:val="auto"/>
        </w:rPr>
      </w:pPr>
      <w:r>
        <w:rPr>
          <w:rFonts w:ascii="Times New Roman" w:cs="Times New Roman" w:eastAsia="Times New Roman" w:hAnsi="Times New Roman"/>
          <w:sz w:val="28"/>
          <w:szCs w:val="28"/>
          <w:color w:val="auto"/>
        </w:rPr>
        <w:t>Таким образом, норма дохода в данном случае рассчитывается как:</w:t>
      </w:r>
    </w:p>
    <w:p>
      <w:pPr>
        <w:spacing w:after="0" w:line="321" w:lineRule="exact"/>
        <w:rPr>
          <w:sz w:val="20"/>
          <w:szCs w:val="20"/>
          <w:color w:val="auto"/>
        </w:rPr>
      </w:pPr>
    </w:p>
    <w:p>
      <w:pPr>
        <w:jc w:val="center"/>
        <w:ind w:right="-239"/>
        <w:spacing w:after="0"/>
        <w:rPr>
          <w:sz w:val="20"/>
          <w:szCs w:val="20"/>
          <w:color w:val="auto"/>
        </w:rPr>
      </w:pPr>
      <w:r>
        <w:rPr>
          <w:rFonts w:ascii="Times New Roman" w:cs="Times New Roman" w:eastAsia="Times New Roman" w:hAnsi="Times New Roman"/>
          <w:sz w:val="28"/>
          <w:szCs w:val="28"/>
          <w:color w:val="auto"/>
        </w:rPr>
        <w:t>i = 380 000 / 2 300 000 = 0,165 (16,5%).</w:t>
      </w:r>
    </w:p>
    <w:p>
      <w:pPr>
        <w:spacing w:after="0" w:line="322" w:lineRule="exact"/>
        <w:rPr>
          <w:sz w:val="20"/>
          <w:szCs w:val="20"/>
          <w:color w:val="auto"/>
        </w:rPr>
      </w:pPr>
    </w:p>
    <w:p>
      <w:pPr>
        <w:jc w:val="both"/>
        <w:ind w:left="260" w:right="40" w:firstLine="720"/>
        <w:spacing w:after="0" w:line="239" w:lineRule="auto"/>
        <w:rPr>
          <w:sz w:val="20"/>
          <w:szCs w:val="20"/>
          <w:color w:val="auto"/>
        </w:rPr>
      </w:pPr>
      <w:r>
        <w:rPr>
          <w:rFonts w:ascii="Times New Roman" w:cs="Times New Roman" w:eastAsia="Times New Roman" w:hAnsi="Times New Roman"/>
          <w:sz w:val="28"/>
          <w:szCs w:val="28"/>
          <w:u w:val="single" w:color="auto"/>
          <w:color w:val="auto"/>
        </w:rPr>
        <w:t>Задача</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u w:val="single" w:color="auto"/>
          <w:color w:val="auto"/>
        </w:rPr>
        <w:t>1.3</w:t>
      </w:r>
      <w:r>
        <w:rPr>
          <w:rFonts w:ascii="Times New Roman" w:cs="Times New Roman" w:eastAsia="Times New Roman" w:hAnsi="Times New Roman"/>
          <w:sz w:val="28"/>
          <w:szCs w:val="28"/>
          <w:color w:val="auto"/>
        </w:rPr>
        <w:t>. Предприятие выпускает три вида продукции (имеет три бизнес-линии): А, Б, В. Предприятие имеет временно избыточные активы стоимостью в 500 000 руб. (они не понадобятся для выпуска перечисленных видов продукции в течение одного года), которые можно сдать в аренду (что тогда составит четвертую бизнес- линию предприятия). Рыночная стоимость имущества, которое не нужно для выпуска рассматриваемых видов продукции, равняется 320 000 руб.</w:t>
      </w:r>
    </w:p>
    <w:p>
      <w:pPr>
        <w:spacing w:after="0" w:line="9" w:lineRule="exact"/>
        <w:rPr>
          <w:sz w:val="20"/>
          <w:szCs w:val="20"/>
          <w:color w:val="auto"/>
        </w:rPr>
      </w:pPr>
    </w:p>
    <w:p>
      <w:pPr>
        <w:jc w:val="both"/>
        <w:ind w:left="260" w:right="40" w:firstLine="720"/>
        <w:spacing w:after="0" w:line="244" w:lineRule="auto"/>
        <w:rPr>
          <w:sz w:val="20"/>
          <w:szCs w:val="20"/>
          <w:color w:val="auto"/>
        </w:rPr>
      </w:pPr>
      <w:r>
        <w:rPr>
          <w:rFonts w:ascii="Times New Roman" w:cs="Times New Roman" w:eastAsia="Times New Roman" w:hAnsi="Times New Roman"/>
          <w:sz w:val="28"/>
          <w:szCs w:val="28"/>
          <w:color w:val="auto"/>
        </w:rPr>
        <w:t>Необходимо, без учета рисков бизнеса, определить минимальную обоснованную рыночную стоимость предприятия как действующего в расчете на следующее время:</w:t>
      </w:r>
    </w:p>
    <w:p>
      <w:pPr>
        <w:spacing w:after="0" w:line="3" w:lineRule="exact"/>
        <w:rPr>
          <w:sz w:val="20"/>
          <w:szCs w:val="20"/>
          <w:color w:val="auto"/>
        </w:rPr>
      </w:pPr>
    </w:p>
    <w:p>
      <w:pPr>
        <w:ind w:left="1320" w:hanging="350"/>
        <w:spacing w:after="0"/>
        <w:tabs>
          <w:tab w:leader="none" w:pos="1320" w:val="left"/>
        </w:tabs>
        <w:numPr>
          <w:ilvl w:val="0"/>
          <w:numId w:val="7"/>
        </w:numPr>
        <w:rPr>
          <w:rFonts w:ascii="Symbol" w:cs="Symbol" w:eastAsia="Symbol" w:hAnsi="Symbol"/>
          <w:sz w:val="28"/>
          <w:szCs w:val="28"/>
          <w:color w:val="auto"/>
        </w:rPr>
      </w:pPr>
      <w:r>
        <w:rPr>
          <w:rFonts w:ascii="Times New Roman" w:cs="Times New Roman" w:eastAsia="Times New Roman" w:hAnsi="Times New Roman"/>
          <w:sz w:val="28"/>
          <w:szCs w:val="28"/>
          <w:color w:val="auto"/>
        </w:rPr>
        <w:t>три года продолжения его работы;</w:t>
      </w:r>
    </w:p>
    <w:p>
      <w:pPr>
        <w:ind w:left="1320" w:hanging="350"/>
        <w:spacing w:after="0" w:line="239" w:lineRule="auto"/>
        <w:tabs>
          <w:tab w:leader="none" w:pos="1320" w:val="left"/>
        </w:tabs>
        <w:numPr>
          <w:ilvl w:val="0"/>
          <w:numId w:val="7"/>
        </w:numPr>
        <w:rPr>
          <w:rFonts w:ascii="Symbol" w:cs="Symbol" w:eastAsia="Symbol" w:hAnsi="Symbol"/>
          <w:sz w:val="28"/>
          <w:szCs w:val="28"/>
          <w:color w:val="auto"/>
        </w:rPr>
      </w:pPr>
      <w:r>
        <w:rPr>
          <w:rFonts w:ascii="Times New Roman" w:cs="Times New Roman" w:eastAsia="Times New Roman" w:hAnsi="Times New Roman"/>
          <w:sz w:val="28"/>
          <w:szCs w:val="28"/>
          <w:color w:val="auto"/>
        </w:rPr>
        <w:t>два года продолжения его работы;</w:t>
      </w:r>
    </w:p>
    <w:p>
      <w:pPr>
        <w:jc w:val="both"/>
        <w:ind w:left="1320" w:hanging="350"/>
        <w:spacing w:after="0" w:line="232" w:lineRule="auto"/>
        <w:tabs>
          <w:tab w:leader="none" w:pos="1320" w:val="left"/>
        </w:tabs>
        <w:numPr>
          <w:ilvl w:val="0"/>
          <w:numId w:val="7"/>
        </w:numPr>
        <w:rPr>
          <w:rFonts w:ascii="Symbol" w:cs="Symbol" w:eastAsia="Symbol" w:hAnsi="Symbol"/>
          <w:sz w:val="28"/>
          <w:szCs w:val="28"/>
          <w:color w:val="auto"/>
        </w:rPr>
      </w:pPr>
      <w:r>
        <w:rPr>
          <w:rFonts w:ascii="Times New Roman" w:cs="Times New Roman" w:eastAsia="Times New Roman" w:hAnsi="Times New Roman"/>
          <w:sz w:val="28"/>
          <w:szCs w:val="28"/>
          <w:color w:val="auto"/>
        </w:rPr>
        <w:t>на все время возможных продаж выпускаемой продукции (с учетом улучшения ее качества и капиталовложений в поддержание</w:t>
      </w:r>
    </w:p>
    <w:p>
      <w:pPr>
        <w:spacing w:after="0" w:line="1" w:lineRule="exact"/>
        <w:rPr>
          <w:sz w:val="20"/>
          <w:szCs w:val="20"/>
          <w:color w:val="auto"/>
        </w:rPr>
      </w:pPr>
    </w:p>
    <w:p>
      <w:pPr>
        <w:ind w:left="1320"/>
        <w:spacing w:after="0"/>
        <w:rPr>
          <w:sz w:val="20"/>
          <w:szCs w:val="20"/>
          <w:color w:val="auto"/>
        </w:rPr>
      </w:pPr>
      <w:r>
        <w:rPr>
          <w:rFonts w:ascii="Times New Roman" w:cs="Times New Roman" w:eastAsia="Times New Roman" w:hAnsi="Times New Roman"/>
          <w:sz w:val="28"/>
          <w:szCs w:val="28"/>
          <w:color w:val="auto"/>
        </w:rPr>
        <w:t>производственных мощностей).</w:t>
      </w:r>
    </w:p>
    <w:p>
      <w:pPr>
        <w:ind w:left="260" w:right="20" w:firstLine="720"/>
        <w:spacing w:after="0" w:line="247" w:lineRule="auto"/>
        <w:rPr>
          <w:sz w:val="20"/>
          <w:szCs w:val="20"/>
          <w:color w:val="auto"/>
        </w:rPr>
      </w:pPr>
      <w:r>
        <w:rPr>
          <w:rFonts w:ascii="Times New Roman" w:cs="Times New Roman" w:eastAsia="Times New Roman" w:hAnsi="Times New Roman"/>
          <w:sz w:val="28"/>
          <w:szCs w:val="28"/>
          <w:color w:val="auto"/>
        </w:rPr>
        <w:t>Ожидаемые чистые доходы от продаж продукции и аренды временно избыточных активов прогнозируются на уровне (в рублях):</w:t>
      </w:r>
    </w:p>
    <w:p>
      <w:pPr>
        <w:spacing w:after="0" w:line="2" w:lineRule="exact"/>
        <w:rPr>
          <w:sz w:val="20"/>
          <w:szCs w:val="20"/>
          <w:color w:val="auto"/>
        </w:rPr>
      </w:pPr>
    </w:p>
    <w:p>
      <w:pPr>
        <w:ind w:left="1320" w:hanging="350"/>
        <w:spacing w:after="0"/>
        <w:tabs>
          <w:tab w:leader="none" w:pos="1320" w:val="left"/>
        </w:tabs>
        <w:numPr>
          <w:ilvl w:val="0"/>
          <w:numId w:val="8"/>
        </w:numPr>
        <w:rPr>
          <w:rFonts w:ascii="Symbol" w:cs="Symbol" w:eastAsia="Symbol" w:hAnsi="Symbol"/>
          <w:sz w:val="28"/>
          <w:szCs w:val="28"/>
          <w:color w:val="auto"/>
        </w:rPr>
      </w:pPr>
      <w:r>
        <w:rPr>
          <w:rFonts w:ascii="Times New Roman" w:cs="Times New Roman" w:eastAsia="Times New Roman" w:hAnsi="Times New Roman"/>
          <w:sz w:val="28"/>
          <w:szCs w:val="28"/>
          <w:color w:val="auto"/>
        </w:rPr>
        <w:t>продукция А через год - 100 000; через два года - 70 000;</w:t>
      </w:r>
    </w:p>
    <w:p>
      <w:pPr>
        <w:sectPr>
          <w:pgSz w:w="11900" w:h="16840" w:orient="portrait"/>
          <w:cols w:equalWidth="0" w:num="1">
            <w:col w:w="9620"/>
          </w:cols>
          <w:pgMar w:left="1440" w:top="1112" w:right="844" w:bottom="163" w:gutter="0" w:footer="0" w:header="0"/>
        </w:sectPr>
      </w:pPr>
    </w:p>
    <w:p>
      <w:pPr>
        <w:spacing w:after="0" w:line="200" w:lineRule="exact"/>
        <w:rPr>
          <w:sz w:val="20"/>
          <w:szCs w:val="20"/>
          <w:color w:val="auto"/>
        </w:rPr>
      </w:pPr>
    </w:p>
    <w:p>
      <w:pPr>
        <w:spacing w:after="0" w:line="255" w:lineRule="exact"/>
        <w:rPr>
          <w:sz w:val="20"/>
          <w:szCs w:val="20"/>
          <w:color w:val="auto"/>
        </w:rPr>
      </w:pPr>
    </w:p>
    <w:p>
      <w:pPr>
        <w:ind w:left="9500"/>
        <w:spacing w:after="0"/>
        <w:rPr>
          <w:sz w:val="20"/>
          <w:szCs w:val="20"/>
          <w:color w:val="auto"/>
        </w:rPr>
      </w:pPr>
      <w:r>
        <w:rPr>
          <w:rFonts w:ascii="Times New Roman" w:cs="Times New Roman" w:eastAsia="Times New Roman" w:hAnsi="Times New Roman"/>
          <w:sz w:val="24"/>
          <w:szCs w:val="24"/>
          <w:color w:val="auto"/>
        </w:rPr>
        <w:t>5</w:t>
      </w:r>
    </w:p>
    <w:p>
      <w:pPr>
        <w:sectPr>
          <w:pgSz w:w="11900" w:h="16840" w:orient="portrait"/>
          <w:cols w:equalWidth="0" w:num="1">
            <w:col w:w="9620"/>
          </w:cols>
          <w:pgMar w:left="1440" w:top="1112" w:right="844" w:bottom="163" w:gutter="0" w:footer="0" w:header="0"/>
          <w:type w:val="continuous"/>
        </w:sectPr>
      </w:pPr>
    </w:p>
    <w:p>
      <w:pPr>
        <w:ind w:left="1320" w:hanging="350"/>
        <w:spacing w:after="0" w:line="239" w:lineRule="auto"/>
        <w:tabs>
          <w:tab w:leader="none" w:pos="1320" w:val="left"/>
        </w:tabs>
        <w:numPr>
          <w:ilvl w:val="0"/>
          <w:numId w:val="9"/>
        </w:numPr>
        <w:rPr>
          <w:rFonts w:ascii="Symbol" w:cs="Symbol" w:eastAsia="Symbol" w:hAnsi="Symbol"/>
          <w:sz w:val="28"/>
          <w:szCs w:val="28"/>
          <w:color w:val="auto"/>
        </w:rPr>
      </w:pPr>
      <w:r>
        <w:rPr>
          <w:rFonts w:ascii="Times New Roman" w:cs="Times New Roman" w:eastAsia="Times New Roman" w:hAnsi="Times New Roman"/>
          <w:sz w:val="28"/>
          <w:szCs w:val="28"/>
          <w:color w:val="auto"/>
        </w:rPr>
        <w:t>продукция Б через год - 20 000; через два года - 130 000; через три года - 700 000; через четыре года - 820 000; через пять лет - 180 000;</w:t>
      </w:r>
    </w:p>
    <w:p>
      <w:pPr>
        <w:spacing w:after="0" w:line="1" w:lineRule="exact"/>
        <w:rPr>
          <w:rFonts w:ascii="Symbol" w:cs="Symbol" w:eastAsia="Symbol" w:hAnsi="Symbol"/>
          <w:sz w:val="28"/>
          <w:szCs w:val="28"/>
          <w:color w:val="auto"/>
        </w:rPr>
      </w:pPr>
    </w:p>
    <w:p>
      <w:pPr>
        <w:ind w:left="1320" w:hanging="350"/>
        <w:spacing w:after="0" w:line="239" w:lineRule="auto"/>
        <w:tabs>
          <w:tab w:leader="none" w:pos="1320" w:val="left"/>
        </w:tabs>
        <w:numPr>
          <w:ilvl w:val="0"/>
          <w:numId w:val="9"/>
        </w:numPr>
        <w:rPr>
          <w:rFonts w:ascii="Symbol" w:cs="Symbol" w:eastAsia="Symbol" w:hAnsi="Symbol"/>
          <w:sz w:val="28"/>
          <w:szCs w:val="28"/>
          <w:color w:val="auto"/>
        </w:rPr>
      </w:pPr>
      <w:r>
        <w:rPr>
          <w:rFonts w:ascii="Times New Roman" w:cs="Times New Roman" w:eastAsia="Times New Roman" w:hAnsi="Times New Roman"/>
          <w:sz w:val="28"/>
          <w:szCs w:val="28"/>
          <w:color w:val="auto"/>
        </w:rPr>
        <w:t>продукция В через год - 45 000;</w:t>
      </w:r>
    </w:p>
    <w:p>
      <w:pPr>
        <w:ind w:left="1320" w:hanging="350"/>
        <w:spacing w:after="0" w:line="225" w:lineRule="auto"/>
        <w:tabs>
          <w:tab w:leader="none" w:pos="1320" w:val="left"/>
        </w:tabs>
        <w:numPr>
          <w:ilvl w:val="0"/>
          <w:numId w:val="9"/>
        </w:numPr>
        <w:rPr>
          <w:rFonts w:ascii="Symbol" w:cs="Symbol" w:eastAsia="Symbol" w:hAnsi="Symbol"/>
          <w:sz w:val="28"/>
          <w:szCs w:val="28"/>
          <w:color w:val="auto"/>
        </w:rPr>
      </w:pPr>
      <w:r>
        <w:rPr>
          <w:rFonts w:ascii="Times New Roman" w:cs="Times New Roman" w:eastAsia="Times New Roman" w:hAnsi="Times New Roman"/>
          <w:sz w:val="28"/>
          <w:szCs w:val="28"/>
          <w:color w:val="auto"/>
        </w:rPr>
        <w:t>поступления от аренды временно избыточных активов через год –</w:t>
      </w:r>
    </w:p>
    <w:p>
      <w:pPr>
        <w:ind w:left="1320"/>
        <w:spacing w:after="0"/>
        <w:rPr>
          <w:rFonts w:ascii="Symbol" w:cs="Symbol" w:eastAsia="Symbol" w:hAnsi="Symbol"/>
          <w:sz w:val="28"/>
          <w:szCs w:val="28"/>
          <w:color w:val="auto"/>
        </w:rPr>
      </w:pPr>
      <w:r>
        <w:rPr>
          <w:rFonts w:ascii="Times New Roman" w:cs="Times New Roman" w:eastAsia="Times New Roman" w:hAnsi="Times New Roman"/>
          <w:sz w:val="28"/>
          <w:szCs w:val="28"/>
          <w:color w:val="auto"/>
        </w:rPr>
        <w:t>50 000.</w:t>
      </w:r>
    </w:p>
    <w:p>
      <w:pPr>
        <w:spacing w:after="0" w:line="1" w:lineRule="exact"/>
        <w:rPr>
          <w:sz w:val="20"/>
          <w:szCs w:val="20"/>
          <w:color w:val="auto"/>
        </w:rPr>
      </w:pPr>
    </w:p>
    <w:p>
      <w:pPr>
        <w:jc w:val="both"/>
        <w:ind w:left="260" w:firstLine="720"/>
        <w:spacing w:after="0" w:line="255" w:lineRule="auto"/>
        <w:rPr>
          <w:sz w:val="20"/>
          <w:szCs w:val="20"/>
          <w:color w:val="auto"/>
        </w:rPr>
      </w:pPr>
      <w:r>
        <w:rPr>
          <w:rFonts w:ascii="Times New Roman" w:cs="Times New Roman" w:eastAsia="Times New Roman" w:hAnsi="Times New Roman"/>
          <w:sz w:val="28"/>
          <w:szCs w:val="28"/>
          <w:color w:val="auto"/>
        </w:rPr>
        <w:t>Прогнозируются следующие средние ожидаемые годовые доходности государственных облигаций: на два года - 25%; на три года -20%, на пять лет - 15%.</w:t>
      </w:r>
    </w:p>
    <w:p>
      <w:pPr>
        <w:spacing w:after="0" w:line="261" w:lineRule="exact"/>
        <w:rPr>
          <w:sz w:val="20"/>
          <w:szCs w:val="20"/>
          <w:color w:val="auto"/>
        </w:rPr>
      </w:pPr>
    </w:p>
    <w:p>
      <w:pPr>
        <w:ind w:left="980"/>
        <w:spacing w:after="0"/>
        <w:rPr>
          <w:sz w:val="20"/>
          <w:szCs w:val="20"/>
          <w:color w:val="auto"/>
        </w:rPr>
      </w:pPr>
      <w:r>
        <w:rPr>
          <w:rFonts w:ascii="Times New Roman" w:cs="Times New Roman" w:eastAsia="Times New Roman" w:hAnsi="Times New Roman"/>
          <w:sz w:val="28"/>
          <w:szCs w:val="28"/>
          <w:u w:val="single" w:color="auto"/>
          <w:color w:val="auto"/>
        </w:rPr>
        <w:t>Решение.</w:t>
      </w:r>
    </w:p>
    <w:p>
      <w:pPr>
        <w:jc w:val="both"/>
        <w:ind w:left="260" w:firstLine="720"/>
        <w:spacing w:after="0"/>
        <w:rPr>
          <w:sz w:val="20"/>
          <w:szCs w:val="20"/>
          <w:color w:val="auto"/>
        </w:rPr>
      </w:pPr>
      <w:r>
        <w:rPr>
          <w:rFonts w:ascii="Times New Roman" w:cs="Times New Roman" w:eastAsia="Times New Roman" w:hAnsi="Times New Roman"/>
          <w:sz w:val="28"/>
          <w:szCs w:val="28"/>
          <w:color w:val="auto"/>
        </w:rPr>
        <w:t>Информация о рыночной стоимости временно избыточных активов (500 000 руб.) является избыточной, так как в задаче предлагается оценить стоимость предприятия как действующего, т.е. такого, которое должно сохранить рабочие места и выпускать возможные для него виды продукции. Следовательно, продавать указанные активы нельзя, потому что это сделает невозможным выпускать и реализовывать продукцию, доходы от продажи которой закладываются в оценку предприятия.</w:t>
      </w:r>
    </w:p>
    <w:p>
      <w:pPr>
        <w:spacing w:after="0" w:line="1" w:lineRule="exact"/>
        <w:rPr>
          <w:sz w:val="20"/>
          <w:szCs w:val="20"/>
          <w:color w:val="auto"/>
        </w:rPr>
      </w:pPr>
    </w:p>
    <w:p>
      <w:pPr>
        <w:jc w:val="both"/>
        <w:ind w:left="260" w:right="20" w:firstLine="720"/>
        <w:spacing w:after="0" w:line="239" w:lineRule="auto"/>
        <w:rPr>
          <w:sz w:val="20"/>
          <w:szCs w:val="20"/>
          <w:color w:val="auto"/>
        </w:rPr>
      </w:pPr>
      <w:r>
        <w:rPr>
          <w:rFonts w:ascii="Times New Roman" w:cs="Times New Roman" w:eastAsia="Times New Roman" w:hAnsi="Times New Roman"/>
          <w:sz w:val="28"/>
          <w:szCs w:val="28"/>
          <w:color w:val="auto"/>
        </w:rPr>
        <w:t>Оценочная стоимость многопродуктового предприятия равна сумме текущих остаточных стоимостей его бизнес-линий плюс рыночная стоимость избыточных (нефункционирующих) активов.</w:t>
      </w:r>
    </w:p>
    <w:p>
      <w:pPr>
        <w:spacing w:after="0" w:line="3" w:lineRule="exact"/>
        <w:rPr>
          <w:sz w:val="20"/>
          <w:szCs w:val="20"/>
          <w:color w:val="auto"/>
        </w:rPr>
      </w:pPr>
    </w:p>
    <w:p>
      <w:pPr>
        <w:jc w:val="both"/>
        <w:ind w:left="260" w:right="20" w:firstLine="720"/>
        <w:spacing w:after="0"/>
        <w:rPr>
          <w:sz w:val="20"/>
          <w:szCs w:val="20"/>
          <w:color w:val="auto"/>
        </w:rPr>
      </w:pPr>
      <w:r>
        <w:rPr>
          <w:rFonts w:ascii="Times New Roman" w:cs="Times New Roman" w:eastAsia="Times New Roman" w:hAnsi="Times New Roman"/>
          <w:sz w:val="28"/>
          <w:szCs w:val="28"/>
          <w:color w:val="auto"/>
        </w:rPr>
        <w:t>Остаточная текущая стоимость бизнес-линии по выпуску продукции А составляет:</w:t>
      </w:r>
    </w:p>
    <w:p>
      <w:pPr>
        <w:jc w:val="both"/>
        <w:ind w:left="260" w:firstLine="722"/>
        <w:spacing w:after="0" w:line="255" w:lineRule="auto"/>
        <w:tabs>
          <w:tab w:leader="none" w:pos="1246" w:val="left"/>
        </w:tabs>
        <w:numPr>
          <w:ilvl w:val="0"/>
          <w:numId w:val="1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расчете на три года продолжения бизнеса (в качестве ставки дисконта используется средняя ожидаемая за три года годовая доходность гособлигаций):</w:t>
      </w:r>
    </w:p>
    <w:p>
      <w:pPr>
        <w:spacing w:after="0" w:line="131" w:lineRule="exact"/>
        <w:rPr>
          <w:sz w:val="20"/>
          <w:szCs w:val="20"/>
          <w:color w:val="auto"/>
        </w:rPr>
      </w:pPr>
    </w:p>
    <w:p>
      <w:pPr>
        <w:ind w:left="1380"/>
        <w:spacing w:after="0"/>
        <w:rPr>
          <w:sz w:val="20"/>
          <w:szCs w:val="20"/>
          <w:color w:val="auto"/>
        </w:rPr>
      </w:pPr>
      <w:r>
        <w:rPr>
          <w:rFonts w:ascii="Times New Roman" w:cs="Times New Roman" w:eastAsia="Times New Roman" w:hAnsi="Times New Roman"/>
          <w:sz w:val="28"/>
          <w:szCs w:val="28"/>
          <w:color w:val="auto"/>
        </w:rPr>
        <w:t>PV</w:t>
      </w:r>
      <w:r>
        <w:rPr>
          <w:rFonts w:ascii="Times New Roman" w:cs="Times New Roman" w:eastAsia="Times New Roman" w:hAnsi="Times New Roman"/>
          <w:sz w:val="36"/>
          <w:szCs w:val="36"/>
          <w:color w:val="auto"/>
          <w:vertAlign w:val="subscript"/>
        </w:rPr>
        <w:t>Аост</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36"/>
          <w:szCs w:val="36"/>
          <w:color w:val="auto"/>
          <w:vertAlign w:val="subscript"/>
        </w:rPr>
        <w:t>(n = 3)</w:t>
      </w:r>
      <w:r>
        <w:rPr>
          <w:rFonts w:ascii="Times New Roman" w:cs="Times New Roman" w:eastAsia="Times New Roman" w:hAnsi="Times New Roman"/>
          <w:sz w:val="28"/>
          <w:szCs w:val="28"/>
          <w:color w:val="auto"/>
        </w:rPr>
        <w:t xml:space="preserve"> = 100000/(1+0,2) +70000/(1+0,2)</w:t>
      </w:r>
      <w:r>
        <w:rPr>
          <w:rFonts w:ascii="Times New Roman" w:cs="Times New Roman" w:eastAsia="Times New Roman" w:hAnsi="Times New Roman"/>
          <w:sz w:val="36"/>
          <w:szCs w:val="36"/>
          <w:color w:val="auto"/>
          <w:vertAlign w:val="superscript"/>
        </w:rPr>
        <w:t>2</w:t>
      </w:r>
      <w:r>
        <w:rPr>
          <w:rFonts w:ascii="Times New Roman" w:cs="Times New Roman" w:eastAsia="Times New Roman" w:hAnsi="Times New Roman"/>
          <w:sz w:val="28"/>
          <w:szCs w:val="28"/>
          <w:color w:val="auto"/>
        </w:rPr>
        <w:t xml:space="preserve"> = 131 944 руб.;</w:t>
      </w:r>
    </w:p>
    <w:p>
      <w:pPr>
        <w:spacing w:after="0" w:line="361" w:lineRule="exact"/>
        <w:rPr>
          <w:sz w:val="20"/>
          <w:szCs w:val="20"/>
          <w:color w:val="auto"/>
        </w:rPr>
      </w:pPr>
    </w:p>
    <w:p>
      <w:pPr>
        <w:jc w:val="both"/>
        <w:ind w:left="260" w:firstLine="722"/>
        <w:spacing w:after="0" w:line="255" w:lineRule="auto"/>
        <w:tabs>
          <w:tab w:leader="none" w:pos="1248" w:val="left"/>
        </w:tabs>
        <w:numPr>
          <w:ilvl w:val="0"/>
          <w:numId w:val="1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расчете на два года продолжения бизнеса (в качестве ставки дисконта используется средняя ожидаемая за два года годовая доходность гособлигаций):</w:t>
      </w:r>
    </w:p>
    <w:p>
      <w:pPr>
        <w:spacing w:after="0" w:line="131" w:lineRule="exact"/>
        <w:rPr>
          <w:sz w:val="20"/>
          <w:szCs w:val="20"/>
          <w:color w:val="auto"/>
        </w:rPr>
      </w:pPr>
    </w:p>
    <w:p>
      <w:pPr>
        <w:ind w:left="1240"/>
        <w:spacing w:after="0"/>
        <w:rPr>
          <w:sz w:val="20"/>
          <w:szCs w:val="20"/>
          <w:color w:val="auto"/>
        </w:rPr>
      </w:pPr>
      <w:r>
        <w:rPr>
          <w:rFonts w:ascii="Times New Roman" w:cs="Times New Roman" w:eastAsia="Times New Roman" w:hAnsi="Times New Roman"/>
          <w:sz w:val="28"/>
          <w:szCs w:val="28"/>
          <w:color w:val="auto"/>
        </w:rPr>
        <w:t>PV</w:t>
      </w:r>
      <w:r>
        <w:rPr>
          <w:rFonts w:ascii="Times New Roman" w:cs="Times New Roman" w:eastAsia="Times New Roman" w:hAnsi="Times New Roman"/>
          <w:sz w:val="36"/>
          <w:szCs w:val="36"/>
          <w:color w:val="auto"/>
          <w:vertAlign w:val="subscript"/>
        </w:rPr>
        <w:t>Аост</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36"/>
          <w:szCs w:val="36"/>
          <w:color w:val="auto"/>
          <w:vertAlign w:val="subscript"/>
        </w:rPr>
        <w:t>(n = 2)</w:t>
      </w:r>
      <w:r>
        <w:rPr>
          <w:rFonts w:ascii="Times New Roman" w:cs="Times New Roman" w:eastAsia="Times New Roman" w:hAnsi="Times New Roman"/>
          <w:sz w:val="28"/>
          <w:szCs w:val="28"/>
          <w:color w:val="auto"/>
        </w:rPr>
        <w:t xml:space="preserve"> = 100000/(1+0,25) +70000/(1+0,25)</w:t>
      </w:r>
      <w:r>
        <w:rPr>
          <w:rFonts w:ascii="Times New Roman" w:cs="Times New Roman" w:eastAsia="Times New Roman" w:hAnsi="Times New Roman"/>
          <w:sz w:val="36"/>
          <w:szCs w:val="36"/>
          <w:color w:val="auto"/>
          <w:vertAlign w:val="superscript"/>
        </w:rPr>
        <w:t>2</w:t>
      </w:r>
      <w:r>
        <w:rPr>
          <w:rFonts w:ascii="Times New Roman" w:cs="Times New Roman" w:eastAsia="Times New Roman" w:hAnsi="Times New Roman"/>
          <w:sz w:val="28"/>
          <w:szCs w:val="28"/>
          <w:color w:val="auto"/>
        </w:rPr>
        <w:t xml:space="preserve"> = 124 800 руб.;</w:t>
      </w:r>
    </w:p>
    <w:p>
      <w:pPr>
        <w:spacing w:after="0" w:line="361" w:lineRule="exact"/>
        <w:rPr>
          <w:sz w:val="20"/>
          <w:szCs w:val="20"/>
          <w:color w:val="auto"/>
        </w:rPr>
      </w:pPr>
    </w:p>
    <w:p>
      <w:pPr>
        <w:jc w:val="both"/>
        <w:ind w:left="260" w:firstLine="722"/>
        <w:spacing w:after="0" w:line="250" w:lineRule="auto"/>
        <w:tabs>
          <w:tab w:leader="none" w:pos="1232" w:val="left"/>
        </w:tabs>
        <w:numPr>
          <w:ilvl w:val="0"/>
          <w:numId w:val="1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расчете на все время продолжения бизнеса (в качестве ставки дисконта используется средняя ожидаемая за пять лет - т.е. за весь срок продаж наиболее перспективной продукции - годовая доходность гособлигаций):</w:t>
      </w:r>
    </w:p>
    <w:p>
      <w:pPr>
        <w:spacing w:after="0" w:line="137" w:lineRule="exact"/>
        <w:rPr>
          <w:sz w:val="20"/>
          <w:szCs w:val="20"/>
          <w:color w:val="auto"/>
        </w:rPr>
      </w:pPr>
    </w:p>
    <w:p>
      <w:pPr>
        <w:ind w:left="1240"/>
        <w:spacing w:after="0"/>
        <w:rPr>
          <w:sz w:val="20"/>
          <w:szCs w:val="20"/>
          <w:color w:val="auto"/>
        </w:rPr>
      </w:pPr>
      <w:r>
        <w:rPr>
          <w:rFonts w:ascii="Times New Roman" w:cs="Times New Roman" w:eastAsia="Times New Roman" w:hAnsi="Times New Roman"/>
          <w:sz w:val="28"/>
          <w:szCs w:val="28"/>
          <w:color w:val="auto"/>
        </w:rPr>
        <w:t>PV</w:t>
      </w:r>
      <w:r>
        <w:rPr>
          <w:rFonts w:ascii="Times New Roman" w:cs="Times New Roman" w:eastAsia="Times New Roman" w:hAnsi="Times New Roman"/>
          <w:sz w:val="36"/>
          <w:szCs w:val="36"/>
          <w:color w:val="auto"/>
          <w:vertAlign w:val="subscript"/>
        </w:rPr>
        <w:t>Аост</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36"/>
          <w:szCs w:val="36"/>
          <w:color w:val="auto"/>
          <w:vertAlign w:val="subscript"/>
        </w:rPr>
        <w:t>(n = 5)</w:t>
      </w:r>
      <w:r>
        <w:rPr>
          <w:rFonts w:ascii="Times New Roman" w:cs="Times New Roman" w:eastAsia="Times New Roman" w:hAnsi="Times New Roman"/>
          <w:sz w:val="28"/>
          <w:szCs w:val="28"/>
          <w:color w:val="auto"/>
        </w:rPr>
        <w:t xml:space="preserve"> = 100000/(1+0,15) +70000/(1+0,15)</w:t>
      </w:r>
      <w:r>
        <w:rPr>
          <w:rFonts w:ascii="Times New Roman" w:cs="Times New Roman" w:eastAsia="Times New Roman" w:hAnsi="Times New Roman"/>
          <w:sz w:val="36"/>
          <w:szCs w:val="36"/>
          <w:color w:val="auto"/>
          <w:vertAlign w:val="superscript"/>
        </w:rPr>
        <w:t>2</w:t>
      </w:r>
      <w:r>
        <w:rPr>
          <w:rFonts w:ascii="Times New Roman" w:cs="Times New Roman" w:eastAsia="Times New Roman" w:hAnsi="Times New Roman"/>
          <w:sz w:val="28"/>
          <w:szCs w:val="28"/>
          <w:color w:val="auto"/>
        </w:rPr>
        <w:t xml:space="preserve"> = 139 887 руб.;</w:t>
      </w:r>
    </w:p>
    <w:p>
      <w:pPr>
        <w:spacing w:after="0" w:line="361" w:lineRule="exact"/>
        <w:rPr>
          <w:sz w:val="20"/>
          <w:szCs w:val="20"/>
          <w:color w:val="auto"/>
        </w:rPr>
      </w:pPr>
    </w:p>
    <w:p>
      <w:pPr>
        <w:ind w:left="260" w:firstLine="720"/>
        <w:spacing w:after="0"/>
        <w:rPr>
          <w:sz w:val="20"/>
          <w:szCs w:val="20"/>
          <w:color w:val="auto"/>
        </w:rPr>
      </w:pPr>
      <w:r>
        <w:rPr>
          <w:rFonts w:ascii="Times New Roman" w:cs="Times New Roman" w:eastAsia="Times New Roman" w:hAnsi="Times New Roman"/>
          <w:sz w:val="28"/>
          <w:szCs w:val="28"/>
          <w:color w:val="auto"/>
        </w:rPr>
        <w:t>Остаточная текущая стоимость бизнес-линии по выпуску продукции Б составляет:</w:t>
      </w:r>
    </w:p>
    <w:p>
      <w:pPr>
        <w:ind w:left="1140" w:hanging="158"/>
        <w:spacing w:after="0"/>
        <w:tabs>
          <w:tab w:leader="none" w:pos="1140" w:val="left"/>
        </w:tabs>
        <w:numPr>
          <w:ilvl w:val="0"/>
          <w:numId w:val="1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расчете на три года продолжения бизнеса:</w:t>
      </w:r>
    </w:p>
    <w:p>
      <w:pPr>
        <w:sectPr>
          <w:pgSz w:w="11900" w:h="16840" w:orient="portrait"/>
          <w:cols w:equalWidth="0" w:num="1">
            <w:col w:w="9620"/>
          </w:cols>
          <w:pgMar w:left="1440" w:top="1132" w:right="844" w:bottom="163" w:gutter="0" w:footer="0" w:header="0"/>
        </w:sectPr>
      </w:pPr>
    </w:p>
    <w:p>
      <w:pPr>
        <w:spacing w:after="0" w:line="200" w:lineRule="exact"/>
        <w:rPr>
          <w:sz w:val="20"/>
          <w:szCs w:val="20"/>
          <w:color w:val="auto"/>
        </w:rPr>
      </w:pPr>
    </w:p>
    <w:p>
      <w:pPr>
        <w:spacing w:after="0" w:line="296" w:lineRule="exact"/>
        <w:rPr>
          <w:sz w:val="20"/>
          <w:szCs w:val="20"/>
          <w:color w:val="auto"/>
        </w:rPr>
      </w:pPr>
    </w:p>
    <w:p>
      <w:pPr>
        <w:ind w:left="9500"/>
        <w:spacing w:after="0"/>
        <w:rPr>
          <w:sz w:val="20"/>
          <w:szCs w:val="20"/>
          <w:color w:val="auto"/>
        </w:rPr>
      </w:pPr>
      <w:r>
        <w:rPr>
          <w:rFonts w:ascii="Times New Roman" w:cs="Times New Roman" w:eastAsia="Times New Roman" w:hAnsi="Times New Roman"/>
          <w:sz w:val="24"/>
          <w:szCs w:val="24"/>
          <w:color w:val="auto"/>
        </w:rPr>
        <w:t>6</w:t>
      </w:r>
    </w:p>
    <w:p>
      <w:pPr>
        <w:sectPr>
          <w:pgSz w:w="11900" w:h="16840" w:orient="portrait"/>
          <w:cols w:equalWidth="0" w:num="1">
            <w:col w:w="9620"/>
          </w:cols>
          <w:pgMar w:left="1440" w:top="1132" w:right="844" w:bottom="163" w:gutter="0" w:footer="0" w:header="0"/>
          <w:type w:val="continuous"/>
        </w:sectPr>
      </w:pPr>
    </w:p>
    <w:p>
      <w:pPr>
        <w:ind w:left="420"/>
        <w:spacing w:after="0"/>
        <w:rPr>
          <w:sz w:val="20"/>
          <w:szCs w:val="20"/>
          <w:color w:val="auto"/>
        </w:rPr>
      </w:pPr>
      <w:r>
        <w:rPr>
          <w:rFonts w:ascii="Times New Roman" w:cs="Times New Roman" w:eastAsia="Times New Roman" w:hAnsi="Times New Roman"/>
          <w:sz w:val="27"/>
          <w:szCs w:val="27"/>
          <w:color w:val="auto"/>
        </w:rPr>
        <w:t>PV</w:t>
      </w:r>
      <w:r>
        <w:rPr>
          <w:rFonts w:ascii="Times New Roman" w:cs="Times New Roman" w:eastAsia="Times New Roman" w:hAnsi="Times New Roman"/>
          <w:sz w:val="35"/>
          <w:szCs w:val="35"/>
          <w:color w:val="auto"/>
          <w:vertAlign w:val="subscript"/>
        </w:rPr>
        <w:t>Бост</w:t>
      </w:r>
      <w:r>
        <w:rPr>
          <w:rFonts w:ascii="Times New Roman" w:cs="Times New Roman" w:eastAsia="Times New Roman" w:hAnsi="Times New Roman"/>
          <w:sz w:val="27"/>
          <w:szCs w:val="27"/>
          <w:color w:val="auto"/>
        </w:rPr>
        <w:t xml:space="preserve"> </w:t>
      </w:r>
      <w:r>
        <w:rPr>
          <w:rFonts w:ascii="Times New Roman" w:cs="Times New Roman" w:eastAsia="Times New Roman" w:hAnsi="Times New Roman"/>
          <w:sz w:val="35"/>
          <w:szCs w:val="35"/>
          <w:color w:val="auto"/>
          <w:vertAlign w:val="subscript"/>
        </w:rPr>
        <w:t>(n = 3)</w:t>
      </w:r>
      <w:r>
        <w:rPr>
          <w:rFonts w:ascii="Times New Roman" w:cs="Times New Roman" w:eastAsia="Times New Roman" w:hAnsi="Times New Roman"/>
          <w:sz w:val="27"/>
          <w:szCs w:val="27"/>
          <w:color w:val="auto"/>
        </w:rPr>
        <w:t xml:space="preserve"> = 20000/(1+0,2)+130000/(1+0,2)</w:t>
      </w:r>
      <w:r>
        <w:rPr>
          <w:rFonts w:ascii="Times New Roman" w:cs="Times New Roman" w:eastAsia="Times New Roman" w:hAnsi="Times New Roman"/>
          <w:sz w:val="35"/>
          <w:szCs w:val="35"/>
          <w:color w:val="auto"/>
          <w:vertAlign w:val="superscript"/>
        </w:rPr>
        <w:t>2</w:t>
      </w:r>
      <w:r>
        <w:rPr>
          <w:rFonts w:ascii="Times New Roman" w:cs="Times New Roman" w:eastAsia="Times New Roman" w:hAnsi="Times New Roman"/>
          <w:sz w:val="27"/>
          <w:szCs w:val="27"/>
          <w:color w:val="auto"/>
        </w:rPr>
        <w:t xml:space="preserve"> +700000/(1+0,2)</w:t>
      </w:r>
      <w:r>
        <w:rPr>
          <w:rFonts w:ascii="Times New Roman" w:cs="Times New Roman" w:eastAsia="Times New Roman" w:hAnsi="Times New Roman"/>
          <w:sz w:val="35"/>
          <w:szCs w:val="35"/>
          <w:color w:val="auto"/>
          <w:vertAlign w:val="superscript"/>
        </w:rPr>
        <w:t>3</w:t>
      </w:r>
      <w:r>
        <w:rPr>
          <w:rFonts w:ascii="Times New Roman" w:cs="Times New Roman" w:eastAsia="Times New Roman" w:hAnsi="Times New Roman"/>
          <w:sz w:val="27"/>
          <w:szCs w:val="27"/>
          <w:color w:val="auto"/>
        </w:rPr>
        <w:t xml:space="preserve"> = 512 037 руб.;</w:t>
      </w:r>
    </w:p>
    <w:p>
      <w:pPr>
        <w:spacing w:after="0" w:line="373" w:lineRule="exact"/>
        <w:rPr>
          <w:sz w:val="20"/>
          <w:szCs w:val="20"/>
          <w:color w:val="auto"/>
        </w:rPr>
      </w:pPr>
    </w:p>
    <w:p>
      <w:pPr>
        <w:ind w:left="1140" w:hanging="158"/>
        <w:spacing w:after="0"/>
        <w:tabs>
          <w:tab w:leader="none" w:pos="1140" w:val="left"/>
        </w:tabs>
        <w:numPr>
          <w:ilvl w:val="0"/>
          <w:numId w:val="1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расчете на два года продолжения бизнеса:</w:t>
      </w:r>
    </w:p>
    <w:p>
      <w:pPr>
        <w:spacing w:after="0" w:line="190" w:lineRule="exact"/>
        <w:rPr>
          <w:sz w:val="20"/>
          <w:szCs w:val="20"/>
          <w:color w:val="auto"/>
        </w:rPr>
      </w:pPr>
    </w:p>
    <w:p>
      <w:pPr>
        <w:ind w:left="1380"/>
        <w:spacing w:after="0"/>
        <w:rPr>
          <w:sz w:val="20"/>
          <w:szCs w:val="20"/>
          <w:color w:val="auto"/>
        </w:rPr>
      </w:pPr>
      <w:r>
        <w:rPr>
          <w:rFonts w:ascii="Times New Roman" w:cs="Times New Roman" w:eastAsia="Times New Roman" w:hAnsi="Times New Roman"/>
          <w:sz w:val="28"/>
          <w:szCs w:val="28"/>
          <w:color w:val="auto"/>
        </w:rPr>
        <w:t>PV</w:t>
      </w:r>
      <w:r>
        <w:rPr>
          <w:rFonts w:ascii="Times New Roman" w:cs="Times New Roman" w:eastAsia="Times New Roman" w:hAnsi="Times New Roman"/>
          <w:sz w:val="36"/>
          <w:szCs w:val="36"/>
          <w:color w:val="auto"/>
          <w:vertAlign w:val="subscript"/>
        </w:rPr>
        <w:t>Бост</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36"/>
          <w:szCs w:val="36"/>
          <w:color w:val="auto"/>
          <w:vertAlign w:val="subscript"/>
        </w:rPr>
        <w:t>(n = 2)</w:t>
      </w:r>
      <w:r>
        <w:rPr>
          <w:rFonts w:ascii="Times New Roman" w:cs="Times New Roman" w:eastAsia="Times New Roman" w:hAnsi="Times New Roman"/>
          <w:sz w:val="28"/>
          <w:szCs w:val="28"/>
          <w:color w:val="auto"/>
        </w:rPr>
        <w:t xml:space="preserve"> = 20000/(1+0,25)+130000/(1+0,25)</w:t>
      </w:r>
      <w:r>
        <w:rPr>
          <w:rFonts w:ascii="Times New Roman" w:cs="Times New Roman" w:eastAsia="Times New Roman" w:hAnsi="Times New Roman"/>
          <w:sz w:val="36"/>
          <w:szCs w:val="36"/>
          <w:color w:val="auto"/>
          <w:vertAlign w:val="superscript"/>
        </w:rPr>
        <w:t>2</w:t>
      </w:r>
      <w:r>
        <w:rPr>
          <w:rFonts w:ascii="Times New Roman" w:cs="Times New Roman" w:eastAsia="Times New Roman" w:hAnsi="Times New Roman"/>
          <w:sz w:val="28"/>
          <w:szCs w:val="28"/>
          <w:color w:val="auto"/>
        </w:rPr>
        <w:t xml:space="preserve"> = 99 200 руб.;</w:t>
      </w:r>
    </w:p>
    <w:p>
      <w:pPr>
        <w:spacing w:after="0" w:line="361" w:lineRule="exact"/>
        <w:rPr>
          <w:sz w:val="20"/>
          <w:szCs w:val="20"/>
          <w:color w:val="auto"/>
        </w:rPr>
      </w:pPr>
    </w:p>
    <w:p>
      <w:pPr>
        <w:ind w:left="1140" w:hanging="158"/>
        <w:spacing w:after="0"/>
        <w:tabs>
          <w:tab w:leader="none" w:pos="1140" w:val="left"/>
        </w:tabs>
        <w:numPr>
          <w:ilvl w:val="0"/>
          <w:numId w:val="1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расчете на все время продолжения бизнеса:</w:t>
      </w:r>
    </w:p>
    <w:p>
      <w:pPr>
        <w:spacing w:after="0" w:line="190" w:lineRule="exact"/>
        <w:rPr>
          <w:sz w:val="20"/>
          <w:szCs w:val="20"/>
          <w:color w:val="auto"/>
        </w:rPr>
      </w:pPr>
    </w:p>
    <w:p>
      <w:pPr>
        <w:jc w:val="center"/>
        <w:ind w:right="-259"/>
        <w:spacing w:after="0" w:line="313" w:lineRule="auto"/>
        <w:rPr>
          <w:sz w:val="20"/>
          <w:szCs w:val="20"/>
          <w:color w:val="auto"/>
        </w:rPr>
      </w:pPr>
      <w:r>
        <w:rPr>
          <w:rFonts w:ascii="Times New Roman" w:cs="Times New Roman" w:eastAsia="Times New Roman" w:hAnsi="Times New Roman"/>
          <w:sz w:val="27"/>
          <w:szCs w:val="27"/>
          <w:color w:val="auto"/>
        </w:rPr>
        <w:t>PV</w:t>
      </w:r>
      <w:r>
        <w:rPr>
          <w:rFonts w:ascii="Times New Roman" w:cs="Times New Roman" w:eastAsia="Times New Roman" w:hAnsi="Times New Roman"/>
          <w:sz w:val="35"/>
          <w:szCs w:val="35"/>
          <w:color w:val="auto"/>
          <w:vertAlign w:val="subscript"/>
        </w:rPr>
        <w:t>Бост</w:t>
      </w:r>
      <w:r>
        <w:rPr>
          <w:rFonts w:ascii="Times New Roman" w:cs="Times New Roman" w:eastAsia="Times New Roman" w:hAnsi="Times New Roman"/>
          <w:sz w:val="27"/>
          <w:szCs w:val="27"/>
          <w:color w:val="auto"/>
        </w:rPr>
        <w:t xml:space="preserve"> </w:t>
      </w:r>
      <w:r>
        <w:rPr>
          <w:rFonts w:ascii="Times New Roman" w:cs="Times New Roman" w:eastAsia="Times New Roman" w:hAnsi="Times New Roman"/>
          <w:sz w:val="35"/>
          <w:szCs w:val="35"/>
          <w:color w:val="auto"/>
          <w:vertAlign w:val="subscript"/>
        </w:rPr>
        <w:t>(n = 3)</w:t>
      </w:r>
      <w:r>
        <w:rPr>
          <w:rFonts w:ascii="Times New Roman" w:cs="Times New Roman" w:eastAsia="Times New Roman" w:hAnsi="Times New Roman"/>
          <w:sz w:val="27"/>
          <w:szCs w:val="27"/>
          <w:color w:val="auto"/>
        </w:rPr>
        <w:t xml:space="preserve"> = 20000/(1+0,15)+130000/(1+0,15)</w:t>
      </w:r>
      <w:r>
        <w:rPr>
          <w:rFonts w:ascii="Times New Roman" w:cs="Times New Roman" w:eastAsia="Times New Roman" w:hAnsi="Times New Roman"/>
          <w:sz w:val="35"/>
          <w:szCs w:val="35"/>
          <w:color w:val="auto"/>
          <w:vertAlign w:val="superscript"/>
        </w:rPr>
        <w:t>2</w:t>
      </w:r>
      <w:r>
        <w:rPr>
          <w:rFonts w:ascii="Times New Roman" w:cs="Times New Roman" w:eastAsia="Times New Roman" w:hAnsi="Times New Roman"/>
          <w:sz w:val="27"/>
          <w:szCs w:val="27"/>
          <w:color w:val="auto"/>
        </w:rPr>
        <w:t xml:space="preserve"> +700000/(1+0,15)</w:t>
      </w:r>
      <w:r>
        <w:rPr>
          <w:rFonts w:ascii="Times New Roman" w:cs="Times New Roman" w:eastAsia="Times New Roman" w:hAnsi="Times New Roman"/>
          <w:sz w:val="35"/>
          <w:szCs w:val="35"/>
          <w:color w:val="auto"/>
          <w:vertAlign w:val="superscript"/>
        </w:rPr>
        <w:t>3</w:t>
      </w:r>
      <w:r>
        <w:rPr>
          <w:rFonts w:ascii="Times New Roman" w:cs="Times New Roman" w:eastAsia="Times New Roman" w:hAnsi="Times New Roman"/>
          <w:sz w:val="27"/>
          <w:szCs w:val="27"/>
          <w:color w:val="auto"/>
        </w:rPr>
        <w:t xml:space="preserve"> + +820000/(1+0,15)</w:t>
      </w:r>
      <w:r>
        <w:rPr>
          <w:rFonts w:ascii="Times New Roman" w:cs="Times New Roman" w:eastAsia="Times New Roman" w:hAnsi="Times New Roman"/>
          <w:sz w:val="35"/>
          <w:szCs w:val="35"/>
          <w:color w:val="auto"/>
          <w:vertAlign w:val="superscript"/>
        </w:rPr>
        <w:t>4</w:t>
      </w:r>
      <w:r>
        <w:rPr>
          <w:rFonts w:ascii="Times New Roman" w:cs="Times New Roman" w:eastAsia="Times New Roman" w:hAnsi="Times New Roman"/>
          <w:sz w:val="27"/>
          <w:szCs w:val="27"/>
          <w:color w:val="auto"/>
        </w:rPr>
        <w:t xml:space="preserve"> + 180000/(1+0,15)</w:t>
      </w:r>
      <w:r>
        <w:rPr>
          <w:rFonts w:ascii="Times New Roman" w:cs="Times New Roman" w:eastAsia="Times New Roman" w:hAnsi="Times New Roman"/>
          <w:sz w:val="35"/>
          <w:szCs w:val="35"/>
          <w:color w:val="auto"/>
          <w:vertAlign w:val="superscript"/>
        </w:rPr>
        <w:t>5</w:t>
      </w:r>
      <w:r>
        <w:rPr>
          <w:rFonts w:ascii="Times New Roman" w:cs="Times New Roman" w:eastAsia="Times New Roman" w:hAnsi="Times New Roman"/>
          <w:sz w:val="27"/>
          <w:szCs w:val="27"/>
          <w:color w:val="auto"/>
        </w:rPr>
        <w:t xml:space="preserve"> = 1 134 200 руб.</w:t>
      </w:r>
    </w:p>
    <w:p>
      <w:pPr>
        <w:spacing w:after="0" w:line="47" w:lineRule="exact"/>
        <w:rPr>
          <w:sz w:val="20"/>
          <w:szCs w:val="20"/>
          <w:color w:val="auto"/>
        </w:rPr>
      </w:pPr>
    </w:p>
    <w:p>
      <w:pPr>
        <w:ind w:left="260" w:firstLine="716"/>
        <w:spacing w:after="0"/>
        <w:rPr>
          <w:sz w:val="20"/>
          <w:szCs w:val="20"/>
          <w:color w:val="auto"/>
        </w:rPr>
      </w:pPr>
      <w:r>
        <w:rPr>
          <w:rFonts w:ascii="Times New Roman" w:cs="Times New Roman" w:eastAsia="Times New Roman" w:hAnsi="Times New Roman"/>
          <w:sz w:val="28"/>
          <w:szCs w:val="28"/>
          <w:color w:val="auto"/>
        </w:rPr>
        <w:t>Остаточная текущая стоимость бизнес-линии по выпуску продукции В составляет:</w:t>
      </w:r>
    </w:p>
    <w:p>
      <w:pPr>
        <w:ind w:left="1140" w:hanging="158"/>
        <w:spacing w:after="0"/>
        <w:tabs>
          <w:tab w:leader="none" w:pos="1140" w:val="left"/>
        </w:tabs>
        <w:numPr>
          <w:ilvl w:val="0"/>
          <w:numId w:val="1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расчете на три года продолжения бизнеса:</w:t>
      </w:r>
    </w:p>
    <w:p>
      <w:pPr>
        <w:spacing w:after="0" w:line="192" w:lineRule="exact"/>
        <w:rPr>
          <w:sz w:val="20"/>
          <w:szCs w:val="20"/>
          <w:color w:val="auto"/>
        </w:rPr>
      </w:pPr>
    </w:p>
    <w:p>
      <w:pPr>
        <w:ind w:left="2540"/>
        <w:spacing w:after="0"/>
        <w:rPr>
          <w:sz w:val="20"/>
          <w:szCs w:val="20"/>
          <w:color w:val="auto"/>
        </w:rPr>
      </w:pPr>
      <w:r>
        <w:rPr>
          <w:rFonts w:ascii="Times New Roman" w:cs="Times New Roman" w:eastAsia="Times New Roman" w:hAnsi="Times New Roman"/>
          <w:sz w:val="28"/>
          <w:szCs w:val="28"/>
          <w:color w:val="auto"/>
        </w:rPr>
        <w:t>PV</w:t>
      </w:r>
      <w:r>
        <w:rPr>
          <w:rFonts w:ascii="Times New Roman" w:cs="Times New Roman" w:eastAsia="Times New Roman" w:hAnsi="Times New Roman"/>
          <w:sz w:val="36"/>
          <w:szCs w:val="36"/>
          <w:color w:val="auto"/>
          <w:vertAlign w:val="subscript"/>
        </w:rPr>
        <w:t>Вост</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36"/>
          <w:szCs w:val="36"/>
          <w:color w:val="auto"/>
          <w:vertAlign w:val="subscript"/>
        </w:rPr>
        <w:t>(n = 3)</w:t>
      </w:r>
      <w:r>
        <w:rPr>
          <w:rFonts w:ascii="Times New Roman" w:cs="Times New Roman" w:eastAsia="Times New Roman" w:hAnsi="Times New Roman"/>
          <w:sz w:val="28"/>
          <w:szCs w:val="28"/>
          <w:color w:val="auto"/>
        </w:rPr>
        <w:t xml:space="preserve"> = 45000/(1+0,2) = 37 500 руб.</w:t>
      </w:r>
    </w:p>
    <w:p>
      <w:pPr>
        <w:spacing w:after="0" w:line="360" w:lineRule="exact"/>
        <w:rPr>
          <w:sz w:val="20"/>
          <w:szCs w:val="20"/>
          <w:color w:val="auto"/>
        </w:rPr>
      </w:pPr>
    </w:p>
    <w:p>
      <w:pPr>
        <w:ind w:left="1140" w:hanging="158"/>
        <w:spacing w:after="0"/>
        <w:tabs>
          <w:tab w:leader="none" w:pos="1140" w:val="left"/>
        </w:tabs>
        <w:numPr>
          <w:ilvl w:val="0"/>
          <w:numId w:val="1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расчете на два года продолжения бизнеса:</w:t>
      </w:r>
    </w:p>
    <w:p>
      <w:pPr>
        <w:spacing w:after="0" w:line="192" w:lineRule="exact"/>
        <w:rPr>
          <w:sz w:val="20"/>
          <w:szCs w:val="20"/>
          <w:color w:val="auto"/>
        </w:rPr>
      </w:pPr>
    </w:p>
    <w:p>
      <w:pPr>
        <w:ind w:left="2460"/>
        <w:spacing w:after="0"/>
        <w:rPr>
          <w:sz w:val="20"/>
          <w:szCs w:val="20"/>
          <w:color w:val="auto"/>
        </w:rPr>
      </w:pPr>
      <w:r>
        <w:rPr>
          <w:rFonts w:ascii="Times New Roman" w:cs="Times New Roman" w:eastAsia="Times New Roman" w:hAnsi="Times New Roman"/>
          <w:sz w:val="28"/>
          <w:szCs w:val="28"/>
          <w:color w:val="auto"/>
        </w:rPr>
        <w:t>PV</w:t>
      </w:r>
      <w:r>
        <w:rPr>
          <w:rFonts w:ascii="Times New Roman" w:cs="Times New Roman" w:eastAsia="Times New Roman" w:hAnsi="Times New Roman"/>
          <w:sz w:val="36"/>
          <w:szCs w:val="36"/>
          <w:color w:val="auto"/>
          <w:vertAlign w:val="subscript"/>
        </w:rPr>
        <w:t>Вост</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36"/>
          <w:szCs w:val="36"/>
          <w:color w:val="auto"/>
          <w:vertAlign w:val="subscript"/>
        </w:rPr>
        <w:t>(n = 3)</w:t>
      </w:r>
      <w:r>
        <w:rPr>
          <w:rFonts w:ascii="Times New Roman" w:cs="Times New Roman" w:eastAsia="Times New Roman" w:hAnsi="Times New Roman"/>
          <w:sz w:val="28"/>
          <w:szCs w:val="28"/>
          <w:color w:val="auto"/>
        </w:rPr>
        <w:t xml:space="preserve"> = 45000/(1+0,25) = 36 000 руб.</w:t>
      </w:r>
    </w:p>
    <w:p>
      <w:pPr>
        <w:spacing w:after="0" w:line="361" w:lineRule="exact"/>
        <w:rPr>
          <w:sz w:val="20"/>
          <w:szCs w:val="20"/>
          <w:color w:val="auto"/>
        </w:rPr>
      </w:pPr>
    </w:p>
    <w:p>
      <w:pPr>
        <w:ind w:left="1140" w:hanging="158"/>
        <w:spacing w:after="0"/>
        <w:tabs>
          <w:tab w:leader="none" w:pos="1140" w:val="left"/>
        </w:tabs>
        <w:numPr>
          <w:ilvl w:val="0"/>
          <w:numId w:val="1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расчете на все время продолжения бизнеса:</w:t>
      </w:r>
    </w:p>
    <w:p>
      <w:pPr>
        <w:spacing w:after="0" w:line="190" w:lineRule="exact"/>
        <w:rPr>
          <w:sz w:val="20"/>
          <w:szCs w:val="20"/>
          <w:color w:val="auto"/>
        </w:rPr>
      </w:pPr>
    </w:p>
    <w:p>
      <w:pPr>
        <w:ind w:left="2460"/>
        <w:spacing w:after="0"/>
        <w:rPr>
          <w:sz w:val="20"/>
          <w:szCs w:val="20"/>
          <w:color w:val="auto"/>
        </w:rPr>
      </w:pPr>
      <w:r>
        <w:rPr>
          <w:rFonts w:ascii="Times New Roman" w:cs="Times New Roman" w:eastAsia="Times New Roman" w:hAnsi="Times New Roman"/>
          <w:sz w:val="28"/>
          <w:szCs w:val="28"/>
          <w:color w:val="auto"/>
        </w:rPr>
        <w:t>PV</w:t>
      </w:r>
      <w:r>
        <w:rPr>
          <w:rFonts w:ascii="Times New Roman" w:cs="Times New Roman" w:eastAsia="Times New Roman" w:hAnsi="Times New Roman"/>
          <w:sz w:val="36"/>
          <w:szCs w:val="36"/>
          <w:color w:val="auto"/>
          <w:vertAlign w:val="subscript"/>
        </w:rPr>
        <w:t>Вост</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36"/>
          <w:szCs w:val="36"/>
          <w:color w:val="auto"/>
          <w:vertAlign w:val="subscript"/>
        </w:rPr>
        <w:t>(n = 5)</w:t>
      </w:r>
      <w:r>
        <w:rPr>
          <w:rFonts w:ascii="Times New Roman" w:cs="Times New Roman" w:eastAsia="Times New Roman" w:hAnsi="Times New Roman"/>
          <w:sz w:val="28"/>
          <w:szCs w:val="28"/>
          <w:color w:val="auto"/>
        </w:rPr>
        <w:t xml:space="preserve"> = 45000/(1+0,15) = 39 130 руб.</w:t>
      </w:r>
    </w:p>
    <w:p>
      <w:pPr>
        <w:spacing w:after="0" w:line="361" w:lineRule="exact"/>
        <w:rPr>
          <w:sz w:val="20"/>
          <w:szCs w:val="20"/>
          <w:color w:val="auto"/>
        </w:rPr>
      </w:pPr>
    </w:p>
    <w:p>
      <w:pPr>
        <w:ind w:left="260" w:firstLine="720"/>
        <w:spacing w:after="0" w:line="239" w:lineRule="auto"/>
        <w:rPr>
          <w:sz w:val="20"/>
          <w:szCs w:val="20"/>
          <w:color w:val="auto"/>
        </w:rPr>
      </w:pPr>
      <w:r>
        <w:rPr>
          <w:rFonts w:ascii="Times New Roman" w:cs="Times New Roman" w:eastAsia="Times New Roman" w:hAnsi="Times New Roman"/>
          <w:sz w:val="28"/>
          <w:szCs w:val="28"/>
          <w:color w:val="auto"/>
        </w:rPr>
        <w:t>Остаточная текущая стоимость бизнес-линии по сдаче в аренду временно избыточных активов равна:</w:t>
      </w:r>
    </w:p>
    <w:p>
      <w:pPr>
        <w:spacing w:after="0" w:line="2" w:lineRule="exact"/>
        <w:rPr>
          <w:sz w:val="20"/>
          <w:szCs w:val="20"/>
          <w:color w:val="auto"/>
        </w:rPr>
      </w:pPr>
    </w:p>
    <w:p>
      <w:pPr>
        <w:ind w:left="1140" w:hanging="158"/>
        <w:spacing w:after="0"/>
        <w:tabs>
          <w:tab w:leader="none" w:pos="1140" w:val="left"/>
        </w:tabs>
        <w:numPr>
          <w:ilvl w:val="0"/>
          <w:numId w:val="1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расчете на три года продолжения бизнеса:</w:t>
      </w:r>
    </w:p>
    <w:p>
      <w:pPr>
        <w:spacing w:after="0" w:line="192" w:lineRule="exact"/>
        <w:rPr>
          <w:sz w:val="20"/>
          <w:szCs w:val="20"/>
          <w:color w:val="auto"/>
        </w:rPr>
      </w:pPr>
    </w:p>
    <w:p>
      <w:pPr>
        <w:ind w:left="2180"/>
        <w:spacing w:after="0"/>
        <w:rPr>
          <w:sz w:val="20"/>
          <w:szCs w:val="20"/>
          <w:color w:val="auto"/>
        </w:rPr>
      </w:pPr>
      <w:r>
        <w:rPr>
          <w:rFonts w:ascii="Times New Roman" w:cs="Times New Roman" w:eastAsia="Times New Roman" w:hAnsi="Times New Roman"/>
          <w:sz w:val="28"/>
          <w:szCs w:val="28"/>
          <w:color w:val="auto"/>
        </w:rPr>
        <w:t>PV</w:t>
      </w:r>
      <w:r>
        <w:rPr>
          <w:rFonts w:ascii="Times New Roman" w:cs="Times New Roman" w:eastAsia="Times New Roman" w:hAnsi="Times New Roman"/>
          <w:sz w:val="36"/>
          <w:szCs w:val="36"/>
          <w:color w:val="auto"/>
          <w:vertAlign w:val="subscript"/>
        </w:rPr>
        <w:t>АРЕНДАост</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36"/>
          <w:szCs w:val="36"/>
          <w:color w:val="auto"/>
          <w:vertAlign w:val="subscript"/>
        </w:rPr>
        <w:t>(n = 3)</w:t>
      </w:r>
      <w:r>
        <w:rPr>
          <w:rFonts w:ascii="Times New Roman" w:cs="Times New Roman" w:eastAsia="Times New Roman" w:hAnsi="Times New Roman"/>
          <w:sz w:val="28"/>
          <w:szCs w:val="28"/>
          <w:color w:val="auto"/>
        </w:rPr>
        <w:t xml:space="preserve"> = 50000/(1+0,2) = 41 667 руб.;</w:t>
      </w:r>
    </w:p>
    <w:p>
      <w:pPr>
        <w:spacing w:after="0" w:line="361" w:lineRule="exact"/>
        <w:rPr>
          <w:sz w:val="20"/>
          <w:szCs w:val="20"/>
          <w:color w:val="auto"/>
        </w:rPr>
      </w:pPr>
    </w:p>
    <w:p>
      <w:pPr>
        <w:ind w:left="1140" w:hanging="158"/>
        <w:spacing w:after="0"/>
        <w:tabs>
          <w:tab w:leader="none" w:pos="1140" w:val="left"/>
        </w:tabs>
        <w:numPr>
          <w:ilvl w:val="0"/>
          <w:numId w:val="2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расчете на два года продолжения бизнеса:</w:t>
      </w:r>
    </w:p>
    <w:p>
      <w:pPr>
        <w:spacing w:after="0" w:line="190" w:lineRule="exact"/>
        <w:rPr>
          <w:sz w:val="20"/>
          <w:szCs w:val="20"/>
          <w:color w:val="auto"/>
        </w:rPr>
      </w:pPr>
    </w:p>
    <w:p>
      <w:pPr>
        <w:ind w:left="2120"/>
        <w:spacing w:after="0"/>
        <w:rPr>
          <w:sz w:val="20"/>
          <w:szCs w:val="20"/>
          <w:color w:val="auto"/>
        </w:rPr>
      </w:pPr>
      <w:r>
        <w:rPr>
          <w:rFonts w:ascii="Times New Roman" w:cs="Times New Roman" w:eastAsia="Times New Roman" w:hAnsi="Times New Roman"/>
          <w:sz w:val="28"/>
          <w:szCs w:val="28"/>
          <w:color w:val="auto"/>
        </w:rPr>
        <w:t>PV</w:t>
      </w:r>
      <w:r>
        <w:rPr>
          <w:rFonts w:ascii="Times New Roman" w:cs="Times New Roman" w:eastAsia="Times New Roman" w:hAnsi="Times New Roman"/>
          <w:sz w:val="36"/>
          <w:szCs w:val="36"/>
          <w:color w:val="auto"/>
          <w:vertAlign w:val="subscript"/>
        </w:rPr>
        <w:t>АРЕНДАост</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36"/>
          <w:szCs w:val="36"/>
          <w:color w:val="auto"/>
          <w:vertAlign w:val="subscript"/>
        </w:rPr>
        <w:t>(n = 2)</w:t>
      </w:r>
      <w:r>
        <w:rPr>
          <w:rFonts w:ascii="Times New Roman" w:cs="Times New Roman" w:eastAsia="Times New Roman" w:hAnsi="Times New Roman"/>
          <w:sz w:val="28"/>
          <w:szCs w:val="28"/>
          <w:color w:val="auto"/>
        </w:rPr>
        <w:t xml:space="preserve"> = 50000/(1+0,25) = 40 000 руб.;</w:t>
      </w:r>
    </w:p>
    <w:p>
      <w:pPr>
        <w:spacing w:after="0" w:line="361" w:lineRule="exact"/>
        <w:rPr>
          <w:sz w:val="20"/>
          <w:szCs w:val="20"/>
          <w:color w:val="auto"/>
        </w:rPr>
      </w:pPr>
    </w:p>
    <w:p>
      <w:pPr>
        <w:ind w:left="1140" w:hanging="158"/>
        <w:spacing w:after="0"/>
        <w:tabs>
          <w:tab w:leader="none" w:pos="1140" w:val="left"/>
        </w:tabs>
        <w:numPr>
          <w:ilvl w:val="0"/>
          <w:numId w:val="2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расчете на все время продолжения бизнеса:</w:t>
      </w:r>
    </w:p>
    <w:p>
      <w:pPr>
        <w:spacing w:after="0" w:line="190" w:lineRule="exact"/>
        <w:rPr>
          <w:sz w:val="20"/>
          <w:szCs w:val="20"/>
          <w:color w:val="auto"/>
        </w:rPr>
      </w:pPr>
    </w:p>
    <w:p>
      <w:pPr>
        <w:ind w:left="2120"/>
        <w:spacing w:after="0"/>
        <w:rPr>
          <w:sz w:val="20"/>
          <w:szCs w:val="20"/>
          <w:color w:val="auto"/>
        </w:rPr>
      </w:pPr>
      <w:r>
        <w:rPr>
          <w:rFonts w:ascii="Times New Roman" w:cs="Times New Roman" w:eastAsia="Times New Roman" w:hAnsi="Times New Roman"/>
          <w:sz w:val="28"/>
          <w:szCs w:val="28"/>
          <w:color w:val="auto"/>
        </w:rPr>
        <w:t>PV</w:t>
      </w:r>
      <w:r>
        <w:rPr>
          <w:rFonts w:ascii="Times New Roman" w:cs="Times New Roman" w:eastAsia="Times New Roman" w:hAnsi="Times New Roman"/>
          <w:sz w:val="36"/>
          <w:szCs w:val="36"/>
          <w:color w:val="auto"/>
          <w:vertAlign w:val="subscript"/>
        </w:rPr>
        <w:t>АРЕНДАост</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36"/>
          <w:szCs w:val="36"/>
          <w:color w:val="auto"/>
          <w:vertAlign w:val="subscript"/>
        </w:rPr>
        <w:t>(n = 5)</w:t>
      </w:r>
      <w:r>
        <w:rPr>
          <w:rFonts w:ascii="Times New Roman" w:cs="Times New Roman" w:eastAsia="Times New Roman" w:hAnsi="Times New Roman"/>
          <w:sz w:val="28"/>
          <w:szCs w:val="28"/>
          <w:color w:val="auto"/>
        </w:rPr>
        <w:t xml:space="preserve"> = 50000/(1+0,15) = 43 478 руб.;</w:t>
      </w:r>
    </w:p>
    <w:p>
      <w:pPr>
        <w:spacing w:after="0" w:line="361" w:lineRule="exact"/>
        <w:rPr>
          <w:sz w:val="20"/>
          <w:szCs w:val="20"/>
          <w:color w:val="auto"/>
        </w:rPr>
      </w:pPr>
    </w:p>
    <w:p>
      <w:pPr>
        <w:jc w:val="both"/>
        <w:ind w:left="260" w:right="20" w:firstLine="716"/>
        <w:spacing w:after="0" w:line="247" w:lineRule="auto"/>
        <w:rPr>
          <w:sz w:val="20"/>
          <w:szCs w:val="20"/>
          <w:color w:val="auto"/>
        </w:rPr>
      </w:pPr>
      <w:r>
        <w:rPr>
          <w:rFonts w:ascii="Times New Roman" w:cs="Times New Roman" w:eastAsia="Times New Roman" w:hAnsi="Times New Roman"/>
          <w:sz w:val="28"/>
          <w:szCs w:val="28"/>
          <w:color w:val="auto"/>
        </w:rPr>
        <w:t>Таким образом, в расчете на три года продолжения бизнеса суммарная остаточная текущая стоимость ожидаемых доходов предприятия, или его обоснованная рыночная стоимость, оказывается равна (с добавлением рыночной стоимости окончательно избыточных активов в сумме НФА* = 320 000 руб.):</w:t>
      </w:r>
    </w:p>
    <w:p>
      <w:pPr>
        <w:sectPr>
          <w:pgSz w:w="11900" w:h="16840" w:orient="portrait"/>
          <w:cols w:equalWidth="0" w:num="1">
            <w:col w:w="9620"/>
          </w:cols>
          <w:pgMar w:left="1440" w:top="981" w:right="844" w:bottom="163" w:gutter="0" w:footer="0" w:header="0"/>
        </w:sectPr>
      </w:pPr>
    </w:p>
    <w:p>
      <w:pPr>
        <w:spacing w:after="0" w:line="200" w:lineRule="exact"/>
        <w:rPr>
          <w:sz w:val="20"/>
          <w:szCs w:val="20"/>
          <w:color w:val="auto"/>
        </w:rPr>
      </w:pPr>
    </w:p>
    <w:p>
      <w:pPr>
        <w:spacing w:after="0" w:line="310" w:lineRule="exact"/>
        <w:rPr>
          <w:sz w:val="20"/>
          <w:szCs w:val="20"/>
          <w:color w:val="auto"/>
        </w:rPr>
      </w:pPr>
    </w:p>
    <w:p>
      <w:pPr>
        <w:ind w:left="9500"/>
        <w:spacing w:after="0"/>
        <w:rPr>
          <w:sz w:val="20"/>
          <w:szCs w:val="20"/>
          <w:color w:val="auto"/>
        </w:rPr>
      </w:pPr>
      <w:r>
        <w:rPr>
          <w:rFonts w:ascii="Times New Roman" w:cs="Times New Roman" w:eastAsia="Times New Roman" w:hAnsi="Times New Roman"/>
          <w:sz w:val="24"/>
          <w:szCs w:val="24"/>
          <w:color w:val="auto"/>
        </w:rPr>
        <w:t>7</w:t>
      </w:r>
    </w:p>
    <w:p>
      <w:pPr>
        <w:sectPr>
          <w:pgSz w:w="11900" w:h="16840" w:orient="portrait"/>
          <w:cols w:equalWidth="0" w:num="1">
            <w:col w:w="9620"/>
          </w:cols>
          <w:pgMar w:left="1440" w:top="981" w:right="844" w:bottom="163" w:gutter="0" w:footer="0" w:header="0"/>
          <w:type w:val="continuous"/>
        </w:sectPr>
      </w:pPr>
    </w:p>
    <w:p>
      <w:pPr>
        <w:ind w:left="1720"/>
        <w:spacing w:after="0"/>
        <w:rPr>
          <w:sz w:val="20"/>
          <w:szCs w:val="20"/>
          <w:color w:val="auto"/>
        </w:rPr>
      </w:pPr>
      <w:r>
        <w:rPr>
          <w:rFonts w:ascii="Times New Roman" w:cs="Times New Roman" w:eastAsia="Times New Roman" w:hAnsi="Times New Roman"/>
          <w:sz w:val="28"/>
          <w:szCs w:val="28"/>
          <w:color w:val="auto"/>
        </w:rPr>
        <w:t>131 944+512 037+37 500+41 667+320 000 = 1 043 148 руб.</w:t>
      </w:r>
    </w:p>
    <w:p>
      <w:pPr>
        <w:spacing w:after="0" w:line="322" w:lineRule="exact"/>
        <w:rPr>
          <w:sz w:val="20"/>
          <w:szCs w:val="20"/>
          <w:color w:val="auto"/>
        </w:rPr>
      </w:pPr>
    </w:p>
    <w:p>
      <w:pPr>
        <w:jc w:val="both"/>
        <w:ind w:left="260" w:right="20" w:firstLine="722"/>
        <w:spacing w:after="0" w:line="255" w:lineRule="auto"/>
        <w:tabs>
          <w:tab w:leader="none" w:pos="1233" w:val="left"/>
        </w:tabs>
        <w:numPr>
          <w:ilvl w:val="0"/>
          <w:numId w:val="2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расчете на два года продолжения бизнеса его обоснованная рыночная стоимость, оказывается равна (с добавлением рыночной стоимости окончательно избыточных активов в сумме НФА* = 320 000 руб.):</w:t>
      </w:r>
    </w:p>
    <w:p>
      <w:pPr>
        <w:spacing w:after="0" w:line="261" w:lineRule="exact"/>
        <w:rPr>
          <w:sz w:val="20"/>
          <w:szCs w:val="20"/>
          <w:color w:val="auto"/>
        </w:rPr>
      </w:pPr>
    </w:p>
    <w:p>
      <w:pPr>
        <w:ind w:left="1680"/>
        <w:spacing w:after="0"/>
        <w:rPr>
          <w:sz w:val="20"/>
          <w:szCs w:val="20"/>
          <w:color w:val="auto"/>
        </w:rPr>
      </w:pPr>
      <w:r>
        <w:rPr>
          <w:rFonts w:ascii="Times New Roman" w:cs="Times New Roman" w:eastAsia="Times New Roman" w:hAnsi="Times New Roman"/>
          <w:sz w:val="28"/>
          <w:szCs w:val="28"/>
          <w:color w:val="auto"/>
        </w:rPr>
        <w:t>124800+512037+36000+40000+320000 = 1 032 837 руб.</w:t>
      </w:r>
    </w:p>
    <w:p>
      <w:pPr>
        <w:spacing w:after="0" w:line="321" w:lineRule="exact"/>
        <w:rPr>
          <w:sz w:val="20"/>
          <w:szCs w:val="20"/>
          <w:color w:val="auto"/>
        </w:rPr>
      </w:pPr>
    </w:p>
    <w:p>
      <w:pPr>
        <w:jc w:val="both"/>
        <w:ind w:left="260" w:right="20" w:firstLine="722"/>
        <w:spacing w:after="0" w:line="255" w:lineRule="auto"/>
        <w:tabs>
          <w:tab w:leader="none" w:pos="1366" w:val="left"/>
        </w:tabs>
        <w:numPr>
          <w:ilvl w:val="0"/>
          <w:numId w:val="2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расчете на все время продолжения бизнеса его обоснованная рыночная стоимость, оказывается равна (с добавлением рыночной стоимости окончательно избыточных активов в сумме НФА* = 320 000 руб.):</w:t>
      </w:r>
    </w:p>
    <w:p>
      <w:pPr>
        <w:spacing w:after="0" w:line="263" w:lineRule="exact"/>
        <w:rPr>
          <w:sz w:val="20"/>
          <w:szCs w:val="20"/>
          <w:color w:val="auto"/>
        </w:rPr>
      </w:pPr>
    </w:p>
    <w:p>
      <w:pPr>
        <w:ind w:left="1360"/>
        <w:spacing w:after="0"/>
        <w:rPr>
          <w:sz w:val="20"/>
          <w:szCs w:val="20"/>
          <w:color w:val="auto"/>
        </w:rPr>
      </w:pPr>
      <w:r>
        <w:rPr>
          <w:rFonts w:ascii="Times New Roman" w:cs="Times New Roman" w:eastAsia="Times New Roman" w:hAnsi="Times New Roman"/>
          <w:sz w:val="28"/>
          <w:szCs w:val="28"/>
          <w:color w:val="auto"/>
        </w:rPr>
        <w:t>139 887+1 134 273 +39 130+43 478+320 000 = 1 676 768 руб.</w:t>
      </w:r>
    </w:p>
    <w:p>
      <w:pPr>
        <w:spacing w:after="0" w:line="321" w:lineRule="exact"/>
        <w:rPr>
          <w:sz w:val="20"/>
          <w:szCs w:val="20"/>
          <w:color w:val="auto"/>
        </w:rPr>
      </w:pPr>
    </w:p>
    <w:p>
      <w:pPr>
        <w:ind w:left="980"/>
        <w:spacing w:after="0"/>
        <w:rPr>
          <w:sz w:val="20"/>
          <w:szCs w:val="20"/>
          <w:color w:val="auto"/>
        </w:rPr>
      </w:pPr>
      <w:r>
        <w:rPr>
          <w:rFonts w:ascii="Times New Roman" w:cs="Times New Roman" w:eastAsia="Times New Roman" w:hAnsi="Times New Roman"/>
          <w:sz w:val="28"/>
          <w:szCs w:val="28"/>
          <w:u w:val="single" w:color="auto"/>
          <w:color w:val="auto"/>
        </w:rPr>
        <w:t>Комментарий.</w:t>
      </w:r>
    </w:p>
    <w:p>
      <w:pPr>
        <w:spacing w:after="0" w:line="1" w:lineRule="exact"/>
        <w:rPr>
          <w:sz w:val="20"/>
          <w:szCs w:val="20"/>
          <w:color w:val="auto"/>
        </w:rPr>
      </w:pPr>
    </w:p>
    <w:p>
      <w:pPr>
        <w:jc w:val="both"/>
        <w:ind w:left="260" w:firstLine="720"/>
        <w:spacing w:after="0" w:line="246" w:lineRule="auto"/>
        <w:rPr>
          <w:sz w:val="20"/>
          <w:szCs w:val="20"/>
          <w:color w:val="auto"/>
        </w:rPr>
      </w:pPr>
      <w:r>
        <w:rPr>
          <w:rFonts w:ascii="Times New Roman" w:cs="Times New Roman" w:eastAsia="Times New Roman" w:hAnsi="Times New Roman"/>
          <w:sz w:val="28"/>
          <w:szCs w:val="28"/>
          <w:color w:val="auto"/>
        </w:rPr>
        <w:t>Рассматриваемое предприятие оценивается значительно выше, если предположить, что оно сможет действовать в течение максимального срока полезной жизни для осуществляемых фирмой бизнесов (в течение пяти лет). Такая высокая оценка предполагает, кроме того, что за это время не изменятся законодательные условия для бизнеса (налоги, таможенные пошлины и др.).</w:t>
      </w:r>
    </w:p>
    <w:p>
      <w:pPr>
        <w:spacing w:after="0" w:line="273" w:lineRule="exact"/>
        <w:rPr>
          <w:sz w:val="20"/>
          <w:szCs w:val="20"/>
          <w:color w:val="auto"/>
        </w:rPr>
      </w:pPr>
    </w:p>
    <w:p>
      <w:pPr>
        <w:jc w:val="both"/>
        <w:ind w:left="260" w:right="20" w:firstLine="720"/>
        <w:spacing w:after="0"/>
        <w:rPr>
          <w:sz w:val="20"/>
          <w:szCs w:val="20"/>
          <w:color w:val="auto"/>
        </w:rPr>
      </w:pPr>
      <w:r>
        <w:rPr>
          <w:rFonts w:ascii="Times New Roman" w:cs="Times New Roman" w:eastAsia="Times New Roman" w:hAnsi="Times New Roman"/>
          <w:sz w:val="28"/>
          <w:szCs w:val="28"/>
          <w:u w:val="single" w:color="auto"/>
          <w:color w:val="auto"/>
        </w:rPr>
        <w:t>Задача</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u w:val="single" w:color="auto"/>
          <w:color w:val="auto"/>
        </w:rPr>
        <w:t>1.4.</w:t>
      </w:r>
      <w:r>
        <w:rPr>
          <w:rFonts w:ascii="Times New Roman" w:cs="Times New Roman" w:eastAsia="Times New Roman" w:hAnsi="Times New Roman"/>
          <w:sz w:val="28"/>
          <w:szCs w:val="28"/>
          <w:color w:val="auto"/>
        </w:rPr>
        <w:t xml:space="preserve"> Рассчитать для предприятия показатель денежного потока на основе данных , приведенных из отчетов о прибылях и убытках, движении средств, а также с учетом изменения баланса предприятия (в рублях).</w:t>
      </w:r>
    </w:p>
    <w:tbl>
      <w:tblPr>
        <w:tblLayout w:type="fixed"/>
        <w:tblInd w:w="260" w:type="dxa"/>
        <w:tblCellMar>
          <w:top w:w="0" w:type="dxa"/>
          <w:left w:w="0" w:type="dxa"/>
          <w:bottom w:w="0" w:type="dxa"/>
          <w:right w:w="0" w:type="dxa"/>
        </w:tblCellMar>
      </w:tblPr>
      <w:tr>
        <w:trPr>
          <w:trHeight w:val="322"/>
        </w:trPr>
        <w:tc>
          <w:tcPr>
            <w:tcW w:w="7560" w:type="dxa"/>
            <w:vAlign w:val="bottom"/>
          </w:tcPr>
          <w:p>
            <w:pPr>
              <w:spacing w:after="0"/>
              <w:rPr>
                <w:sz w:val="20"/>
                <w:szCs w:val="20"/>
                <w:color w:val="auto"/>
              </w:rPr>
            </w:pPr>
            <w:r>
              <w:rPr>
                <w:rFonts w:ascii="Times New Roman" w:cs="Times New Roman" w:eastAsia="Times New Roman" w:hAnsi="Times New Roman"/>
                <w:sz w:val="28"/>
                <w:szCs w:val="28"/>
                <w:color w:val="auto"/>
              </w:rPr>
              <w:t>Поступления по контрактам на реализацию продукции:</w:t>
            </w:r>
          </w:p>
        </w:tc>
        <w:tc>
          <w:tcPr>
            <w:tcW w:w="1140" w:type="dxa"/>
            <w:vAlign w:val="bottom"/>
          </w:tcPr>
          <w:p>
            <w:pPr>
              <w:spacing w:after="0"/>
              <w:rPr>
                <w:sz w:val="24"/>
                <w:szCs w:val="24"/>
                <w:color w:val="auto"/>
              </w:rPr>
            </w:pPr>
          </w:p>
        </w:tc>
      </w:tr>
      <w:tr>
        <w:trPr>
          <w:trHeight w:val="322"/>
        </w:trPr>
        <w:tc>
          <w:tcPr>
            <w:tcW w:w="7560" w:type="dxa"/>
            <w:vAlign w:val="bottom"/>
          </w:tcPr>
          <w:p>
            <w:pPr>
              <w:ind w:left="720"/>
              <w:spacing w:after="0"/>
              <w:rPr>
                <w:sz w:val="20"/>
                <w:szCs w:val="20"/>
                <w:color w:val="auto"/>
              </w:rPr>
            </w:pPr>
            <w:r>
              <w:rPr>
                <w:rFonts w:ascii="Times New Roman" w:cs="Times New Roman" w:eastAsia="Times New Roman" w:hAnsi="Times New Roman"/>
                <w:sz w:val="28"/>
                <w:szCs w:val="28"/>
                <w:color w:val="auto"/>
              </w:rPr>
              <w:t>реализация с оплатой по факту поставки</w:t>
            </w:r>
          </w:p>
        </w:tc>
        <w:tc>
          <w:tcPr>
            <w:tcW w:w="1140" w:type="dxa"/>
            <w:vAlign w:val="bottom"/>
          </w:tcPr>
          <w:p>
            <w:pPr>
              <w:ind w:left="220"/>
              <w:spacing w:after="0"/>
              <w:rPr>
                <w:sz w:val="20"/>
                <w:szCs w:val="20"/>
                <w:color w:val="auto"/>
              </w:rPr>
            </w:pPr>
            <w:r>
              <w:rPr>
                <w:rFonts w:ascii="Times New Roman" w:cs="Times New Roman" w:eastAsia="Times New Roman" w:hAnsi="Times New Roman"/>
                <w:sz w:val="28"/>
                <w:szCs w:val="28"/>
                <w:color w:val="auto"/>
                <w:w w:val="98"/>
              </w:rPr>
              <w:t>300 000</w:t>
            </w:r>
          </w:p>
        </w:tc>
      </w:tr>
      <w:tr>
        <w:trPr>
          <w:trHeight w:val="323"/>
        </w:trPr>
        <w:tc>
          <w:tcPr>
            <w:tcW w:w="7560" w:type="dxa"/>
            <w:vAlign w:val="bottom"/>
          </w:tcPr>
          <w:p>
            <w:pPr>
              <w:ind w:left="720"/>
              <w:spacing w:after="0"/>
              <w:rPr>
                <w:sz w:val="20"/>
                <w:szCs w:val="20"/>
                <w:color w:val="auto"/>
              </w:rPr>
            </w:pPr>
            <w:r>
              <w:rPr>
                <w:rFonts w:ascii="Times New Roman" w:cs="Times New Roman" w:eastAsia="Times New Roman" w:hAnsi="Times New Roman"/>
                <w:sz w:val="28"/>
                <w:szCs w:val="28"/>
                <w:color w:val="auto"/>
              </w:rPr>
              <w:t>реализация с оплатой в рассрочку</w:t>
            </w:r>
          </w:p>
        </w:tc>
        <w:tc>
          <w:tcPr>
            <w:tcW w:w="1140" w:type="dxa"/>
            <w:vAlign w:val="bottom"/>
          </w:tcPr>
          <w:p>
            <w:pPr>
              <w:ind w:left="220"/>
              <w:spacing w:after="0"/>
              <w:rPr>
                <w:sz w:val="20"/>
                <w:szCs w:val="20"/>
                <w:color w:val="auto"/>
              </w:rPr>
            </w:pPr>
            <w:r>
              <w:rPr>
                <w:rFonts w:ascii="Times New Roman" w:cs="Times New Roman" w:eastAsia="Times New Roman" w:hAnsi="Times New Roman"/>
                <w:sz w:val="28"/>
                <w:szCs w:val="28"/>
                <w:color w:val="auto"/>
                <w:w w:val="98"/>
              </w:rPr>
              <w:t>100 000</w:t>
            </w:r>
          </w:p>
        </w:tc>
      </w:tr>
      <w:tr>
        <w:trPr>
          <w:trHeight w:val="322"/>
        </w:trPr>
        <w:tc>
          <w:tcPr>
            <w:tcW w:w="7560" w:type="dxa"/>
            <w:vAlign w:val="bottom"/>
          </w:tcPr>
          <w:p>
            <w:pPr>
              <w:ind w:left="720"/>
              <w:spacing w:after="0"/>
              <w:rPr>
                <w:sz w:val="20"/>
                <w:szCs w:val="20"/>
                <w:color w:val="auto"/>
              </w:rPr>
            </w:pPr>
            <w:r>
              <w:rPr>
                <w:rFonts w:ascii="Times New Roman" w:cs="Times New Roman" w:eastAsia="Times New Roman" w:hAnsi="Times New Roman"/>
                <w:sz w:val="28"/>
                <w:szCs w:val="28"/>
                <w:color w:val="auto"/>
              </w:rPr>
              <w:t>авансы и предоплата</w:t>
            </w:r>
          </w:p>
        </w:tc>
        <w:tc>
          <w:tcPr>
            <w:tcW w:w="1140" w:type="dxa"/>
            <w:vAlign w:val="bottom"/>
          </w:tcPr>
          <w:p>
            <w:pPr>
              <w:ind w:left="220"/>
              <w:spacing w:after="0"/>
              <w:rPr>
                <w:sz w:val="20"/>
                <w:szCs w:val="20"/>
                <w:color w:val="auto"/>
              </w:rPr>
            </w:pPr>
            <w:r>
              <w:rPr>
                <w:rFonts w:ascii="Times New Roman" w:cs="Times New Roman" w:eastAsia="Times New Roman" w:hAnsi="Times New Roman"/>
                <w:sz w:val="28"/>
                <w:szCs w:val="28"/>
                <w:color w:val="auto"/>
                <w:w w:val="98"/>
              </w:rPr>
              <w:t>175 000</w:t>
            </w:r>
          </w:p>
        </w:tc>
      </w:tr>
      <w:tr>
        <w:trPr>
          <w:trHeight w:val="322"/>
        </w:trPr>
        <w:tc>
          <w:tcPr>
            <w:tcW w:w="7560" w:type="dxa"/>
            <w:vAlign w:val="bottom"/>
          </w:tcPr>
          <w:p>
            <w:pPr>
              <w:spacing w:after="0"/>
              <w:rPr>
                <w:sz w:val="20"/>
                <w:szCs w:val="20"/>
                <w:color w:val="auto"/>
              </w:rPr>
            </w:pPr>
            <w:r>
              <w:rPr>
                <w:rFonts w:ascii="Times New Roman" w:cs="Times New Roman" w:eastAsia="Times New Roman" w:hAnsi="Times New Roman"/>
                <w:sz w:val="28"/>
                <w:szCs w:val="28"/>
                <w:color w:val="auto"/>
              </w:rPr>
              <w:t>Итого поступления по контрактам на реализацию продукции</w:t>
            </w:r>
          </w:p>
        </w:tc>
        <w:tc>
          <w:tcPr>
            <w:tcW w:w="1140" w:type="dxa"/>
            <w:vAlign w:val="bottom"/>
          </w:tcPr>
          <w:p>
            <w:pPr>
              <w:ind w:left="220"/>
              <w:spacing w:after="0"/>
              <w:rPr>
                <w:sz w:val="20"/>
                <w:szCs w:val="20"/>
                <w:color w:val="auto"/>
              </w:rPr>
            </w:pPr>
            <w:r>
              <w:rPr>
                <w:rFonts w:ascii="Times New Roman" w:cs="Times New Roman" w:eastAsia="Times New Roman" w:hAnsi="Times New Roman"/>
                <w:sz w:val="28"/>
                <w:szCs w:val="28"/>
                <w:color w:val="auto"/>
                <w:w w:val="98"/>
              </w:rPr>
              <w:t>575 000</w:t>
            </w:r>
          </w:p>
        </w:tc>
      </w:tr>
      <w:tr>
        <w:trPr>
          <w:trHeight w:val="323"/>
        </w:trPr>
        <w:tc>
          <w:tcPr>
            <w:tcW w:w="7560" w:type="dxa"/>
            <w:vAlign w:val="bottom"/>
          </w:tcPr>
          <w:p>
            <w:pPr>
              <w:spacing w:after="0"/>
              <w:rPr>
                <w:sz w:val="20"/>
                <w:szCs w:val="20"/>
                <w:color w:val="auto"/>
              </w:rPr>
            </w:pPr>
            <w:r>
              <w:rPr>
                <w:rFonts w:ascii="Times New Roman" w:cs="Times New Roman" w:eastAsia="Times New Roman" w:hAnsi="Times New Roman"/>
                <w:sz w:val="28"/>
                <w:szCs w:val="28"/>
                <w:color w:val="auto"/>
              </w:rPr>
              <w:t>Чистая прибыль</w:t>
            </w:r>
          </w:p>
        </w:tc>
        <w:tc>
          <w:tcPr>
            <w:tcW w:w="1140" w:type="dxa"/>
            <w:vAlign w:val="bottom"/>
          </w:tcPr>
          <w:p>
            <w:pPr>
              <w:ind w:left="220"/>
              <w:spacing w:after="0"/>
              <w:rPr>
                <w:sz w:val="20"/>
                <w:szCs w:val="20"/>
                <w:color w:val="auto"/>
              </w:rPr>
            </w:pPr>
            <w:r>
              <w:rPr>
                <w:rFonts w:ascii="Times New Roman" w:cs="Times New Roman" w:eastAsia="Times New Roman" w:hAnsi="Times New Roman"/>
                <w:sz w:val="28"/>
                <w:szCs w:val="28"/>
                <w:color w:val="auto"/>
              </w:rPr>
              <w:t>85 000</w:t>
            </w:r>
          </w:p>
        </w:tc>
      </w:tr>
      <w:tr>
        <w:trPr>
          <w:trHeight w:val="322"/>
        </w:trPr>
        <w:tc>
          <w:tcPr>
            <w:tcW w:w="7560" w:type="dxa"/>
            <w:vAlign w:val="bottom"/>
          </w:tcPr>
          <w:p>
            <w:pPr>
              <w:spacing w:after="0"/>
              <w:rPr>
                <w:sz w:val="20"/>
                <w:szCs w:val="20"/>
                <w:color w:val="auto"/>
              </w:rPr>
            </w:pPr>
            <w:r>
              <w:rPr>
                <w:rFonts w:ascii="Times New Roman" w:cs="Times New Roman" w:eastAsia="Times New Roman" w:hAnsi="Times New Roman"/>
                <w:sz w:val="28"/>
                <w:szCs w:val="28"/>
                <w:color w:val="auto"/>
              </w:rPr>
              <w:t>Себестоимость реализованной продукции</w:t>
            </w:r>
          </w:p>
        </w:tc>
        <w:tc>
          <w:tcPr>
            <w:tcW w:w="1140" w:type="dxa"/>
            <w:vAlign w:val="bottom"/>
          </w:tcPr>
          <w:p>
            <w:pPr>
              <w:ind w:left="220"/>
              <w:spacing w:after="0"/>
              <w:rPr>
                <w:sz w:val="20"/>
                <w:szCs w:val="20"/>
                <w:color w:val="auto"/>
              </w:rPr>
            </w:pPr>
            <w:r>
              <w:rPr>
                <w:rFonts w:ascii="Times New Roman" w:cs="Times New Roman" w:eastAsia="Times New Roman" w:hAnsi="Times New Roman"/>
                <w:sz w:val="28"/>
                <w:szCs w:val="28"/>
                <w:color w:val="auto"/>
                <w:w w:val="98"/>
              </w:rPr>
              <w:t>310 000</w:t>
            </w:r>
          </w:p>
        </w:tc>
      </w:tr>
      <w:tr>
        <w:trPr>
          <w:trHeight w:val="322"/>
        </w:trPr>
        <w:tc>
          <w:tcPr>
            <w:tcW w:w="7560" w:type="dxa"/>
            <w:vAlign w:val="bottom"/>
          </w:tcPr>
          <w:p>
            <w:pPr>
              <w:spacing w:after="0"/>
              <w:rPr>
                <w:sz w:val="20"/>
                <w:szCs w:val="20"/>
                <w:color w:val="auto"/>
              </w:rPr>
            </w:pPr>
            <w:r>
              <w:rPr>
                <w:rFonts w:ascii="Times New Roman" w:cs="Times New Roman" w:eastAsia="Times New Roman" w:hAnsi="Times New Roman"/>
                <w:sz w:val="28"/>
                <w:szCs w:val="28"/>
                <w:color w:val="auto"/>
              </w:rPr>
              <w:t>Накладные расходы</w:t>
            </w:r>
          </w:p>
        </w:tc>
        <w:tc>
          <w:tcPr>
            <w:tcW w:w="1140" w:type="dxa"/>
            <w:vAlign w:val="bottom"/>
          </w:tcPr>
          <w:p>
            <w:pPr>
              <w:ind w:left="220"/>
              <w:spacing w:after="0"/>
              <w:rPr>
                <w:sz w:val="20"/>
                <w:szCs w:val="20"/>
                <w:color w:val="auto"/>
              </w:rPr>
            </w:pPr>
            <w:r>
              <w:rPr>
                <w:rFonts w:ascii="Times New Roman" w:cs="Times New Roman" w:eastAsia="Times New Roman" w:hAnsi="Times New Roman"/>
                <w:sz w:val="28"/>
                <w:szCs w:val="28"/>
                <w:color w:val="auto"/>
              </w:rPr>
              <w:t>75 000</w:t>
            </w:r>
          </w:p>
        </w:tc>
      </w:tr>
      <w:tr>
        <w:trPr>
          <w:trHeight w:val="323"/>
        </w:trPr>
        <w:tc>
          <w:tcPr>
            <w:tcW w:w="7560" w:type="dxa"/>
            <w:vAlign w:val="bottom"/>
          </w:tcPr>
          <w:p>
            <w:pPr>
              <w:spacing w:after="0"/>
              <w:rPr>
                <w:sz w:val="20"/>
                <w:szCs w:val="20"/>
                <w:color w:val="auto"/>
              </w:rPr>
            </w:pPr>
            <w:r>
              <w:rPr>
                <w:rFonts w:ascii="Times New Roman" w:cs="Times New Roman" w:eastAsia="Times New Roman" w:hAnsi="Times New Roman"/>
                <w:sz w:val="28"/>
                <w:szCs w:val="28"/>
                <w:color w:val="auto"/>
              </w:rPr>
              <w:t>Износ</w:t>
            </w:r>
          </w:p>
        </w:tc>
        <w:tc>
          <w:tcPr>
            <w:tcW w:w="1140" w:type="dxa"/>
            <w:vAlign w:val="bottom"/>
          </w:tcPr>
          <w:p>
            <w:pPr>
              <w:ind w:left="220"/>
              <w:spacing w:after="0"/>
              <w:rPr>
                <w:sz w:val="20"/>
                <w:szCs w:val="20"/>
                <w:color w:val="auto"/>
              </w:rPr>
            </w:pPr>
            <w:r>
              <w:rPr>
                <w:rFonts w:ascii="Times New Roman" w:cs="Times New Roman" w:eastAsia="Times New Roman" w:hAnsi="Times New Roman"/>
                <w:sz w:val="28"/>
                <w:szCs w:val="28"/>
                <w:color w:val="auto"/>
                <w:w w:val="98"/>
              </w:rPr>
              <w:t>160 000</w:t>
            </w:r>
          </w:p>
        </w:tc>
      </w:tr>
      <w:tr>
        <w:trPr>
          <w:trHeight w:val="322"/>
        </w:trPr>
        <w:tc>
          <w:tcPr>
            <w:tcW w:w="7560" w:type="dxa"/>
            <w:vAlign w:val="bottom"/>
          </w:tcPr>
          <w:p>
            <w:pPr>
              <w:spacing w:after="0"/>
              <w:rPr>
                <w:sz w:val="20"/>
                <w:szCs w:val="20"/>
                <w:color w:val="auto"/>
              </w:rPr>
            </w:pPr>
            <w:r>
              <w:rPr>
                <w:rFonts w:ascii="Times New Roman" w:cs="Times New Roman" w:eastAsia="Times New Roman" w:hAnsi="Times New Roman"/>
                <w:sz w:val="28"/>
                <w:szCs w:val="28"/>
                <w:color w:val="auto"/>
              </w:rPr>
              <w:t>Налоги</w:t>
            </w:r>
          </w:p>
        </w:tc>
        <w:tc>
          <w:tcPr>
            <w:tcW w:w="1140" w:type="dxa"/>
            <w:vAlign w:val="bottom"/>
          </w:tcPr>
          <w:p>
            <w:pPr>
              <w:ind w:left="220"/>
              <w:spacing w:after="0"/>
              <w:rPr>
                <w:sz w:val="20"/>
                <w:szCs w:val="20"/>
                <w:color w:val="auto"/>
              </w:rPr>
            </w:pPr>
            <w:r>
              <w:rPr>
                <w:rFonts w:ascii="Times New Roman" w:cs="Times New Roman" w:eastAsia="Times New Roman" w:hAnsi="Times New Roman"/>
                <w:sz w:val="28"/>
                <w:szCs w:val="28"/>
                <w:color w:val="auto"/>
                <w:w w:val="98"/>
              </w:rPr>
              <w:t>155 000</w:t>
            </w:r>
          </w:p>
        </w:tc>
      </w:tr>
      <w:tr>
        <w:trPr>
          <w:trHeight w:val="322"/>
        </w:trPr>
        <w:tc>
          <w:tcPr>
            <w:tcW w:w="7560" w:type="dxa"/>
            <w:vAlign w:val="bottom"/>
          </w:tcPr>
          <w:p>
            <w:pPr>
              <w:spacing w:after="0"/>
              <w:rPr>
                <w:sz w:val="20"/>
                <w:szCs w:val="20"/>
                <w:color w:val="auto"/>
              </w:rPr>
            </w:pPr>
            <w:r>
              <w:rPr>
                <w:rFonts w:ascii="Times New Roman" w:cs="Times New Roman" w:eastAsia="Times New Roman" w:hAnsi="Times New Roman"/>
                <w:sz w:val="28"/>
                <w:szCs w:val="28"/>
                <w:color w:val="auto"/>
              </w:rPr>
              <w:t>Проценты за кредит</w:t>
            </w:r>
          </w:p>
        </w:tc>
        <w:tc>
          <w:tcPr>
            <w:tcW w:w="1140" w:type="dxa"/>
            <w:vAlign w:val="bottom"/>
          </w:tcPr>
          <w:p>
            <w:pPr>
              <w:ind w:left="220"/>
              <w:spacing w:after="0"/>
              <w:rPr>
                <w:sz w:val="20"/>
                <w:szCs w:val="20"/>
                <w:color w:val="auto"/>
              </w:rPr>
            </w:pPr>
            <w:r>
              <w:rPr>
                <w:rFonts w:ascii="Times New Roman" w:cs="Times New Roman" w:eastAsia="Times New Roman" w:hAnsi="Times New Roman"/>
                <w:sz w:val="28"/>
                <w:szCs w:val="28"/>
                <w:color w:val="auto"/>
              </w:rPr>
              <w:t>38 345</w:t>
            </w:r>
          </w:p>
        </w:tc>
      </w:tr>
      <w:tr>
        <w:trPr>
          <w:trHeight w:val="322"/>
        </w:trPr>
        <w:tc>
          <w:tcPr>
            <w:tcW w:w="7560" w:type="dxa"/>
            <w:vAlign w:val="bottom"/>
          </w:tcPr>
          <w:p>
            <w:pPr>
              <w:spacing w:after="0"/>
              <w:rPr>
                <w:sz w:val="20"/>
                <w:szCs w:val="20"/>
                <w:color w:val="auto"/>
              </w:rPr>
            </w:pPr>
            <w:r>
              <w:rPr>
                <w:rFonts w:ascii="Times New Roman" w:cs="Times New Roman" w:eastAsia="Times New Roman" w:hAnsi="Times New Roman"/>
                <w:sz w:val="28"/>
                <w:szCs w:val="28"/>
                <w:color w:val="auto"/>
              </w:rPr>
              <w:t>Увеличение задолженности по балансу</w:t>
            </w:r>
          </w:p>
        </w:tc>
        <w:tc>
          <w:tcPr>
            <w:tcW w:w="1140" w:type="dxa"/>
            <w:vAlign w:val="bottom"/>
          </w:tcPr>
          <w:p>
            <w:pPr>
              <w:ind w:left="220"/>
              <w:spacing w:after="0"/>
              <w:rPr>
                <w:sz w:val="20"/>
                <w:szCs w:val="20"/>
                <w:color w:val="auto"/>
              </w:rPr>
            </w:pPr>
            <w:r>
              <w:rPr>
                <w:rFonts w:ascii="Times New Roman" w:cs="Times New Roman" w:eastAsia="Times New Roman" w:hAnsi="Times New Roman"/>
                <w:sz w:val="28"/>
                <w:szCs w:val="28"/>
                <w:color w:val="auto"/>
                <w:w w:val="98"/>
              </w:rPr>
              <w:t>280 000</w:t>
            </w:r>
          </w:p>
        </w:tc>
      </w:tr>
      <w:tr>
        <w:trPr>
          <w:trHeight w:val="364"/>
        </w:trPr>
        <w:tc>
          <w:tcPr>
            <w:tcW w:w="7560" w:type="dxa"/>
            <w:vAlign w:val="bottom"/>
          </w:tcPr>
          <w:p>
            <w:pPr>
              <w:spacing w:after="0"/>
              <w:rPr>
                <w:sz w:val="20"/>
                <w:szCs w:val="20"/>
                <w:color w:val="auto"/>
              </w:rPr>
            </w:pPr>
            <w:r>
              <w:rPr>
                <w:rFonts w:ascii="Times New Roman" w:cs="Times New Roman" w:eastAsia="Times New Roman" w:hAnsi="Times New Roman"/>
                <w:sz w:val="28"/>
                <w:szCs w:val="28"/>
                <w:color w:val="auto"/>
              </w:rPr>
              <w:t>Вновь приобретенные активы, поставленные на баланс</w:t>
            </w:r>
          </w:p>
        </w:tc>
        <w:tc>
          <w:tcPr>
            <w:tcW w:w="1140" w:type="dxa"/>
            <w:vAlign w:val="bottom"/>
          </w:tcPr>
          <w:p>
            <w:pPr>
              <w:ind w:left="220"/>
              <w:spacing w:after="0"/>
              <w:rPr>
                <w:sz w:val="20"/>
                <w:szCs w:val="20"/>
                <w:color w:val="auto"/>
              </w:rPr>
            </w:pPr>
            <w:r>
              <w:rPr>
                <w:rFonts w:ascii="Times New Roman" w:cs="Times New Roman" w:eastAsia="Times New Roman" w:hAnsi="Times New Roman"/>
                <w:sz w:val="28"/>
                <w:szCs w:val="28"/>
                <w:color w:val="auto"/>
                <w:w w:val="98"/>
              </w:rPr>
              <w:t>205 000</w:t>
            </w:r>
          </w:p>
        </w:tc>
      </w:tr>
    </w:tbl>
    <w:p>
      <w:pPr>
        <w:spacing w:after="0" w:line="280" w:lineRule="exact"/>
        <w:rPr>
          <w:sz w:val="20"/>
          <w:szCs w:val="20"/>
          <w:color w:val="auto"/>
        </w:rPr>
      </w:pPr>
    </w:p>
    <w:p>
      <w:pPr>
        <w:ind w:left="980"/>
        <w:spacing w:after="0"/>
        <w:rPr>
          <w:sz w:val="20"/>
          <w:szCs w:val="20"/>
          <w:color w:val="auto"/>
        </w:rPr>
      </w:pPr>
      <w:r>
        <w:rPr>
          <w:rFonts w:ascii="Times New Roman" w:cs="Times New Roman" w:eastAsia="Times New Roman" w:hAnsi="Times New Roman"/>
          <w:sz w:val="28"/>
          <w:szCs w:val="28"/>
          <w:u w:val="single" w:color="auto"/>
          <w:color w:val="auto"/>
        </w:rPr>
        <w:t>Решение.</w:t>
      </w:r>
    </w:p>
    <w:p>
      <w:pPr>
        <w:jc w:val="both"/>
        <w:ind w:left="260" w:right="40" w:firstLine="716"/>
        <w:spacing w:after="0"/>
        <w:rPr>
          <w:sz w:val="20"/>
          <w:szCs w:val="20"/>
          <w:color w:val="auto"/>
        </w:rPr>
      </w:pPr>
      <w:r>
        <w:rPr>
          <w:rFonts w:ascii="Times New Roman" w:cs="Times New Roman" w:eastAsia="Times New Roman" w:hAnsi="Times New Roman"/>
          <w:sz w:val="28"/>
          <w:szCs w:val="28"/>
          <w:color w:val="auto"/>
        </w:rPr>
        <w:t>Денежным потоком является сальдо между поступлениями (со знаком «плюс») и платежами (со знаком «минус») предприятия.</w:t>
      </w:r>
    </w:p>
    <w:p>
      <w:pPr>
        <w:jc w:val="both"/>
        <w:ind w:left="260" w:right="20" w:firstLine="720"/>
        <w:spacing w:after="0" w:line="255" w:lineRule="auto"/>
        <w:rPr>
          <w:sz w:val="20"/>
          <w:szCs w:val="20"/>
          <w:color w:val="auto"/>
        </w:rPr>
      </w:pPr>
      <w:r>
        <w:rPr>
          <w:rFonts w:ascii="Times New Roman" w:cs="Times New Roman" w:eastAsia="Times New Roman" w:hAnsi="Times New Roman"/>
          <w:sz w:val="28"/>
          <w:szCs w:val="28"/>
          <w:color w:val="auto"/>
        </w:rPr>
        <w:t>Поступлениями в исходных данных являются: 1) поступления от реализации продукции ( в свою очередь, делятся на поступления от продаж продукции с оплатой по факту поставки и от продукции, проданной - в том</w:t>
      </w:r>
    </w:p>
    <w:p>
      <w:pPr>
        <w:sectPr>
          <w:pgSz w:w="11900" w:h="16840" w:orient="portrait"/>
          <w:cols w:equalWidth="0" w:num="1">
            <w:col w:w="9620"/>
          </w:cols>
          <w:pgMar w:left="1440" w:top="1112" w:right="844" w:bottom="163" w:gutter="0" w:footer="0" w:header="0"/>
        </w:sectPr>
      </w:pPr>
    </w:p>
    <w:p>
      <w:pPr>
        <w:spacing w:after="0" w:line="175" w:lineRule="exact"/>
        <w:rPr>
          <w:sz w:val="20"/>
          <w:szCs w:val="20"/>
          <w:color w:val="auto"/>
        </w:rPr>
      </w:pPr>
    </w:p>
    <w:p>
      <w:pPr>
        <w:ind w:left="9500"/>
        <w:spacing w:after="0"/>
        <w:rPr>
          <w:sz w:val="20"/>
          <w:szCs w:val="20"/>
          <w:color w:val="auto"/>
        </w:rPr>
      </w:pPr>
      <w:r>
        <w:rPr>
          <w:rFonts w:ascii="Times New Roman" w:cs="Times New Roman" w:eastAsia="Times New Roman" w:hAnsi="Times New Roman"/>
          <w:sz w:val="24"/>
          <w:szCs w:val="24"/>
          <w:color w:val="auto"/>
        </w:rPr>
        <w:t>8</w:t>
      </w:r>
    </w:p>
    <w:p>
      <w:pPr>
        <w:sectPr>
          <w:pgSz w:w="11900" w:h="16840" w:orient="portrait"/>
          <w:cols w:equalWidth="0" w:num="1">
            <w:col w:w="9620"/>
          </w:cols>
          <w:pgMar w:left="1440" w:top="1112" w:right="844" w:bottom="163" w:gutter="0" w:footer="0" w:header="0"/>
          <w:type w:val="continuous"/>
        </w:sectPr>
      </w:pPr>
    </w:p>
    <w:p>
      <w:pPr>
        <w:jc w:val="both"/>
        <w:ind w:left="260" w:right="20"/>
        <w:spacing w:after="0"/>
        <w:rPr>
          <w:sz w:val="20"/>
          <w:szCs w:val="20"/>
          <w:color w:val="auto"/>
        </w:rPr>
      </w:pPr>
      <w:r>
        <w:rPr>
          <w:rFonts w:ascii="Times New Roman" w:cs="Times New Roman" w:eastAsia="Times New Roman" w:hAnsi="Times New Roman"/>
          <w:sz w:val="28"/>
          <w:szCs w:val="28"/>
          <w:color w:val="auto"/>
        </w:rPr>
        <w:t>числе в предшествовавших периодах - в рассрочку); 2) поступления новых кредитных средств (увеличение задолженности). Сумма этих поступлений равна: 575 000 + 280 000 = 855 000 руб.</w:t>
      </w:r>
    </w:p>
    <w:p>
      <w:pPr>
        <w:jc w:val="both"/>
        <w:ind w:left="260" w:right="20" w:firstLine="720"/>
        <w:spacing w:after="0"/>
        <w:rPr>
          <w:sz w:val="20"/>
          <w:szCs w:val="20"/>
          <w:color w:val="auto"/>
        </w:rPr>
      </w:pPr>
      <w:r>
        <w:rPr>
          <w:rFonts w:ascii="Times New Roman" w:cs="Times New Roman" w:eastAsia="Times New Roman" w:hAnsi="Times New Roman"/>
          <w:sz w:val="28"/>
          <w:szCs w:val="28"/>
          <w:color w:val="auto"/>
        </w:rPr>
        <w:t>Показатель чистой прибыли в исходных данных является промежуточным (расчетным) и не соответствует какому-либо конкретному поступлению средств.</w:t>
      </w:r>
    </w:p>
    <w:p>
      <w:pPr>
        <w:jc w:val="both"/>
        <w:ind w:left="260" w:right="20" w:firstLine="720"/>
        <w:spacing w:after="0" w:line="239" w:lineRule="auto"/>
        <w:rPr>
          <w:sz w:val="20"/>
          <w:szCs w:val="20"/>
          <w:color w:val="auto"/>
        </w:rPr>
      </w:pPr>
      <w:r>
        <w:rPr>
          <w:rFonts w:ascii="Times New Roman" w:cs="Times New Roman" w:eastAsia="Times New Roman" w:hAnsi="Times New Roman"/>
          <w:sz w:val="28"/>
          <w:szCs w:val="28"/>
          <w:color w:val="auto"/>
        </w:rPr>
        <w:t>Реальные платежи делались по всем следующим позициям: себестоимость реализованной продукции (прямые материальные и трудовые затраты); накладные расходы; налоги, проценты за кредит; вновь приобретенные активы, поставленные на баланс (на баланс активы ставятся по той стоимости, по которой они фактически покупались). Отчисления на износ не являются платежом, так как эти средства с предприятия не уходят. Таким образом, сумма платежей составила: 310 000 + 75 000 + 155 000 + 38 345 + 205 000 = 783 345 руб.</w:t>
      </w:r>
    </w:p>
    <w:p>
      <w:pPr>
        <w:spacing w:after="0" w:line="10" w:lineRule="exact"/>
        <w:rPr>
          <w:sz w:val="20"/>
          <w:szCs w:val="20"/>
          <w:color w:val="auto"/>
        </w:rPr>
      </w:pPr>
    </w:p>
    <w:p>
      <w:pPr>
        <w:jc w:val="both"/>
        <w:ind w:left="260" w:right="20" w:firstLine="720"/>
        <w:spacing w:after="0" w:line="271" w:lineRule="auto"/>
        <w:rPr>
          <w:sz w:val="20"/>
          <w:szCs w:val="20"/>
          <w:color w:val="auto"/>
        </w:rPr>
      </w:pPr>
      <w:r>
        <w:rPr>
          <w:rFonts w:ascii="Times New Roman" w:cs="Times New Roman" w:eastAsia="Times New Roman" w:hAnsi="Times New Roman"/>
          <w:sz w:val="28"/>
          <w:szCs w:val="28"/>
          <w:color w:val="auto"/>
        </w:rPr>
        <w:t>Сальдо поступлений и платежей (оно же - денежный поток) за период равно: 855 000 - 783 345 = 71 655 руб.</w:t>
      </w:r>
    </w:p>
    <w:p>
      <w:pPr>
        <w:spacing w:after="0" w:line="239" w:lineRule="exact"/>
        <w:rPr>
          <w:sz w:val="20"/>
          <w:szCs w:val="20"/>
          <w:color w:val="auto"/>
        </w:rPr>
      </w:pPr>
    </w:p>
    <w:p>
      <w:pPr>
        <w:jc w:val="both"/>
        <w:ind w:left="280" w:right="20" w:firstLine="709"/>
        <w:spacing w:after="0"/>
        <w:rPr>
          <w:sz w:val="20"/>
          <w:szCs w:val="20"/>
          <w:color w:val="auto"/>
        </w:rPr>
      </w:pPr>
      <w:r>
        <w:rPr>
          <w:rFonts w:ascii="Times New Roman" w:cs="Times New Roman" w:eastAsia="Times New Roman" w:hAnsi="Times New Roman"/>
          <w:sz w:val="28"/>
          <w:szCs w:val="28"/>
          <w:u w:val="single" w:color="auto"/>
          <w:color w:val="auto"/>
        </w:rPr>
        <w:t>Задача</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u w:val="single" w:color="auto"/>
          <w:color w:val="auto"/>
        </w:rPr>
        <w:t>1.5.</w:t>
      </w:r>
      <w:r>
        <w:rPr>
          <w:rFonts w:ascii="Times New Roman" w:cs="Times New Roman" w:eastAsia="Times New Roman" w:hAnsi="Times New Roman"/>
          <w:sz w:val="28"/>
          <w:szCs w:val="28"/>
          <w:color w:val="auto"/>
        </w:rPr>
        <w:t xml:space="preserve"> Оценить долгосрочный бизнес, способный приносить следующие денежные потоки:</w:t>
      </w:r>
    </w:p>
    <w:p>
      <w:pPr>
        <w:ind w:left="280" w:right="20" w:firstLine="702"/>
        <w:spacing w:after="0"/>
        <w:tabs>
          <w:tab w:leader="none" w:pos="1199" w:val="left"/>
        </w:tabs>
        <w:numPr>
          <w:ilvl w:val="0"/>
          <w:numId w:val="2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ближайшие 15 месяцев с надежностью (по месяцам, в денежных единицах): 80; 85; 90; 95; 100; 100; 100; 100; 100; 100; 110; 110; 100; 90; 85;</w:t>
      </w:r>
    </w:p>
    <w:p>
      <w:pPr>
        <w:ind w:left="280" w:firstLine="702"/>
        <w:spacing w:after="0" w:line="239" w:lineRule="auto"/>
        <w:tabs>
          <w:tab w:leader="none" w:pos="1221" w:val="left"/>
        </w:tabs>
        <w:numPr>
          <w:ilvl w:val="0"/>
          <w:numId w:val="2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дальнейшем (точно прогнозировать невозможно) - примерно по столько же в течение неопределенно длительного периода времени.</w:t>
      </w:r>
    </w:p>
    <w:p>
      <w:pPr>
        <w:spacing w:after="0" w:line="1" w:lineRule="exact"/>
        <w:rPr>
          <w:rFonts w:ascii="Times New Roman" w:cs="Times New Roman" w:eastAsia="Times New Roman" w:hAnsi="Times New Roman"/>
          <w:sz w:val="28"/>
          <w:szCs w:val="28"/>
          <w:color w:val="auto"/>
        </w:rPr>
      </w:pPr>
    </w:p>
    <w:p>
      <w:pPr>
        <w:ind w:left="260" w:firstLine="702"/>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Учитывающая риски бизнеса рекомендуемая ставка дисконта (получена согласно модели оценки капитальных активов) - 72% годовых.</w:t>
      </w:r>
    </w:p>
    <w:p>
      <w:pPr>
        <w:jc w:val="both"/>
        <w:ind w:left="260" w:right="20" w:firstLine="702"/>
        <w:spacing w:after="0" w:line="255"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Оценку произвести применительно к двум предположениям: 1) бизнес удастся вести 15 месяцев; 2) бизнес удастся осуществлять в течение неопределенно длительного периода времени.</w:t>
      </w:r>
    </w:p>
    <w:p>
      <w:pPr>
        <w:spacing w:after="0" w:line="261" w:lineRule="exact"/>
        <w:rPr>
          <w:sz w:val="20"/>
          <w:szCs w:val="20"/>
          <w:color w:val="auto"/>
        </w:rPr>
      </w:pPr>
    </w:p>
    <w:p>
      <w:pPr>
        <w:ind w:left="980"/>
        <w:spacing w:after="0"/>
        <w:rPr>
          <w:sz w:val="20"/>
          <w:szCs w:val="20"/>
          <w:color w:val="auto"/>
        </w:rPr>
      </w:pPr>
      <w:r>
        <w:rPr>
          <w:rFonts w:ascii="Times New Roman" w:cs="Times New Roman" w:eastAsia="Times New Roman" w:hAnsi="Times New Roman"/>
          <w:sz w:val="28"/>
          <w:szCs w:val="28"/>
          <w:u w:val="single" w:color="auto"/>
          <w:color w:val="auto"/>
        </w:rPr>
        <w:t>Решение.</w:t>
      </w:r>
    </w:p>
    <w:p>
      <w:pPr>
        <w:ind w:left="980"/>
        <w:spacing w:after="0"/>
        <w:rPr>
          <w:sz w:val="20"/>
          <w:szCs w:val="20"/>
          <w:color w:val="auto"/>
        </w:rPr>
      </w:pPr>
      <w:r>
        <w:rPr>
          <w:rFonts w:ascii="Times New Roman" w:cs="Times New Roman" w:eastAsia="Times New Roman" w:hAnsi="Times New Roman"/>
          <w:sz w:val="28"/>
          <w:szCs w:val="28"/>
          <w:color w:val="auto"/>
        </w:rPr>
        <w:t>Месячная ставка дисконта равна 72% / 12 = 6%.</w:t>
      </w:r>
    </w:p>
    <w:p>
      <w:pPr>
        <w:spacing w:after="0" w:line="1" w:lineRule="exact"/>
        <w:rPr>
          <w:sz w:val="20"/>
          <w:szCs w:val="20"/>
          <w:color w:val="auto"/>
        </w:rPr>
      </w:pPr>
    </w:p>
    <w:p>
      <w:pPr>
        <w:jc w:val="both"/>
        <w:ind w:left="260" w:firstLine="702"/>
        <w:spacing w:after="0" w:line="244" w:lineRule="auto"/>
        <w:rPr>
          <w:sz w:val="20"/>
          <w:szCs w:val="20"/>
          <w:color w:val="auto"/>
        </w:rPr>
      </w:pPr>
      <w:r>
        <w:rPr>
          <w:rFonts w:ascii="Times New Roman" w:cs="Times New Roman" w:eastAsia="Times New Roman" w:hAnsi="Times New Roman"/>
          <w:sz w:val="28"/>
          <w:szCs w:val="28"/>
          <w:color w:val="auto"/>
        </w:rPr>
        <w:t>Применительно к первому предположению (когда остаточный срок n полезной жизни бизнеса ограничен и равен 15 месяцам) оценка может быть произведена:</w:t>
      </w:r>
    </w:p>
    <w:p>
      <w:pPr>
        <w:spacing w:after="0" w:line="4" w:lineRule="exact"/>
        <w:rPr>
          <w:sz w:val="20"/>
          <w:szCs w:val="20"/>
          <w:color w:val="auto"/>
        </w:rPr>
      </w:pPr>
    </w:p>
    <w:p>
      <w:pPr>
        <w:ind w:left="1320" w:right="80" w:hanging="350"/>
        <w:spacing w:after="0" w:line="210" w:lineRule="auto"/>
        <w:tabs>
          <w:tab w:leader="none" w:pos="1320" w:val="left"/>
        </w:tabs>
        <w:numPr>
          <w:ilvl w:val="0"/>
          <w:numId w:val="25"/>
        </w:numPr>
        <w:rPr>
          <w:rFonts w:ascii="Symbol" w:cs="Symbol" w:eastAsia="Symbol" w:hAnsi="Symbol"/>
          <w:sz w:val="28"/>
          <w:szCs w:val="28"/>
          <w:color w:val="auto"/>
        </w:rPr>
      </w:pPr>
      <w:r>
        <w:rPr>
          <w:rFonts w:ascii="Times New Roman" w:cs="Times New Roman" w:eastAsia="Times New Roman" w:hAnsi="Times New Roman"/>
          <w:sz w:val="28"/>
          <w:szCs w:val="28"/>
          <w:color w:val="auto"/>
        </w:rPr>
        <w:t>обычным способом суммирования текущих стоимостей переменных будущих денежных потоков ДП</w:t>
      </w:r>
      <w:r>
        <w:rPr>
          <w:rFonts w:ascii="Times New Roman" w:cs="Times New Roman" w:eastAsia="Times New Roman" w:hAnsi="Times New Roman"/>
          <w:sz w:val="36"/>
          <w:szCs w:val="36"/>
          <w:color w:val="auto"/>
          <w:vertAlign w:val="subscript"/>
        </w:rPr>
        <w:t>t</w:t>
      </w:r>
      <w:r>
        <w:rPr>
          <w:rFonts w:ascii="Times New Roman" w:cs="Times New Roman" w:eastAsia="Times New Roman" w:hAnsi="Times New Roman"/>
          <w:sz w:val="28"/>
          <w:szCs w:val="28"/>
          <w:color w:val="auto"/>
        </w:rPr>
        <w:t xml:space="preserve"> по ставке дисконта i;</w:t>
      </w:r>
    </w:p>
    <w:p>
      <w:pPr>
        <w:spacing w:after="0" w:line="1" w:lineRule="exact"/>
        <w:rPr>
          <w:rFonts w:ascii="Symbol" w:cs="Symbol" w:eastAsia="Symbol" w:hAnsi="Symbol"/>
          <w:sz w:val="28"/>
          <w:szCs w:val="28"/>
          <w:color w:val="auto"/>
        </w:rPr>
      </w:pPr>
    </w:p>
    <w:p>
      <w:pPr>
        <w:ind w:left="1320" w:hanging="350"/>
        <w:spacing w:after="0" w:line="203" w:lineRule="auto"/>
        <w:tabs>
          <w:tab w:leader="none" w:pos="1320" w:val="left"/>
        </w:tabs>
        <w:numPr>
          <w:ilvl w:val="0"/>
          <w:numId w:val="25"/>
        </w:numPr>
        <w:rPr>
          <w:rFonts w:ascii="Symbol" w:cs="Symbol" w:eastAsia="Symbol" w:hAnsi="Symbol"/>
          <w:sz w:val="28"/>
          <w:szCs w:val="28"/>
          <w:color w:val="auto"/>
        </w:rPr>
      </w:pPr>
      <w:r>
        <w:rPr>
          <w:rFonts w:ascii="Times New Roman" w:cs="Times New Roman" w:eastAsia="Times New Roman" w:hAnsi="Times New Roman"/>
          <w:sz w:val="28"/>
          <w:szCs w:val="28"/>
          <w:color w:val="auto"/>
        </w:rPr>
        <w:t>методом капитализации ограниченного во времени среднего ожидаемого денежного потока ДП</w:t>
      </w:r>
      <w:r>
        <w:rPr>
          <w:rFonts w:ascii="Times New Roman" w:cs="Times New Roman" w:eastAsia="Times New Roman" w:hAnsi="Times New Roman"/>
          <w:sz w:val="36"/>
          <w:szCs w:val="36"/>
          <w:color w:val="auto"/>
          <w:vertAlign w:val="subscript"/>
        </w:rPr>
        <w:t>ср</w:t>
      </w:r>
      <w:r>
        <w:rPr>
          <w:rFonts w:ascii="Times New Roman" w:cs="Times New Roman" w:eastAsia="Times New Roman" w:hAnsi="Times New Roman"/>
          <w:sz w:val="28"/>
          <w:szCs w:val="28"/>
          <w:color w:val="auto"/>
        </w:rPr>
        <w:t>.</w:t>
      </w:r>
    </w:p>
    <w:p>
      <w:pPr>
        <w:spacing w:after="0" w:line="3" w:lineRule="exact"/>
        <w:rPr>
          <w:sz w:val="20"/>
          <w:szCs w:val="20"/>
          <w:color w:val="auto"/>
        </w:rPr>
      </w:pPr>
    </w:p>
    <w:p>
      <w:pPr>
        <w:jc w:val="both"/>
        <w:ind w:left="260" w:firstLine="702"/>
        <w:spacing w:after="0"/>
        <w:rPr>
          <w:sz w:val="20"/>
          <w:szCs w:val="20"/>
          <w:color w:val="auto"/>
        </w:rPr>
      </w:pPr>
      <w:r>
        <w:rPr>
          <w:rFonts w:ascii="Times New Roman" w:cs="Times New Roman" w:eastAsia="Times New Roman" w:hAnsi="Times New Roman"/>
          <w:sz w:val="28"/>
          <w:szCs w:val="28"/>
          <w:color w:val="auto"/>
        </w:rPr>
        <w:t>Применительно ко второму предположению оценка рассматриваемого бизнеса осуществляется методом капитализации постоянного (на уровне среднего ожидаемого) денежного потока, получаемого в течение неопределенно длительного времени.</w:t>
      </w:r>
    </w:p>
    <w:p>
      <w:pPr>
        <w:spacing w:after="0" w:line="1" w:lineRule="exact"/>
        <w:rPr>
          <w:sz w:val="20"/>
          <w:szCs w:val="20"/>
          <w:color w:val="auto"/>
        </w:rPr>
      </w:pPr>
    </w:p>
    <w:p>
      <w:pPr>
        <w:jc w:val="both"/>
        <w:ind w:left="260" w:firstLine="702"/>
        <w:spacing w:after="0" w:line="255" w:lineRule="auto"/>
        <w:rPr>
          <w:sz w:val="20"/>
          <w:szCs w:val="20"/>
          <w:color w:val="auto"/>
        </w:rPr>
      </w:pPr>
      <w:r>
        <w:rPr>
          <w:rFonts w:ascii="Times New Roman" w:cs="Times New Roman" w:eastAsia="Times New Roman" w:hAnsi="Times New Roman"/>
          <w:sz w:val="28"/>
          <w:szCs w:val="28"/>
          <w:color w:val="auto"/>
        </w:rPr>
        <w:t>Использование стандартной в доходном подходе к оценке бизнеса формулы для определения его остаточной стоимости дает следующий результат:</w:t>
      </w:r>
    </w:p>
    <w:p>
      <w:pPr>
        <w:sectPr>
          <w:pgSz w:w="11900" w:h="16840" w:orient="portrait"/>
          <w:cols w:equalWidth="0" w:num="1">
            <w:col w:w="9620"/>
          </w:cols>
          <w:pgMar w:left="1440" w:top="1112" w:right="844" w:bottom="163" w:gutter="0" w:footer="0" w:header="0"/>
        </w:sectPr>
      </w:pPr>
    </w:p>
    <w:p>
      <w:pPr>
        <w:spacing w:after="0" w:line="134" w:lineRule="exact"/>
        <w:rPr>
          <w:sz w:val="20"/>
          <w:szCs w:val="20"/>
          <w:color w:val="auto"/>
        </w:rPr>
      </w:pPr>
    </w:p>
    <w:p>
      <w:pPr>
        <w:ind w:left="9500"/>
        <w:spacing w:after="0"/>
        <w:rPr>
          <w:sz w:val="20"/>
          <w:szCs w:val="20"/>
          <w:color w:val="auto"/>
        </w:rPr>
      </w:pPr>
      <w:r>
        <w:rPr>
          <w:rFonts w:ascii="Times New Roman" w:cs="Times New Roman" w:eastAsia="Times New Roman" w:hAnsi="Times New Roman"/>
          <w:sz w:val="24"/>
          <w:szCs w:val="24"/>
          <w:color w:val="auto"/>
        </w:rPr>
        <w:t>9</w:t>
      </w:r>
    </w:p>
    <w:p>
      <w:pPr>
        <w:sectPr>
          <w:pgSz w:w="11900" w:h="16840" w:orient="portrait"/>
          <w:cols w:equalWidth="0" w:num="1">
            <w:col w:w="9620"/>
          </w:cols>
          <w:pgMar w:left="1440" w:top="1112" w:right="844" w:bottom="163" w:gutter="0" w:footer="0" w:header="0"/>
          <w:type w:val="continuous"/>
        </w:sectPr>
      </w:pPr>
    </w:p>
    <w:p>
      <w:pPr>
        <w:ind w:left="1040"/>
        <w:spacing w:after="0"/>
        <w:rPr>
          <w:sz w:val="20"/>
          <w:szCs w:val="20"/>
          <w:color w:val="auto"/>
        </w:rPr>
      </w:pPr>
      <w:r>
        <w:rPr>
          <w:rFonts w:ascii="Times New Roman" w:cs="Times New Roman" w:eastAsia="Times New Roman" w:hAnsi="Times New Roman"/>
          <w:sz w:val="28"/>
          <w:szCs w:val="28"/>
          <w:color w:val="auto"/>
        </w:rPr>
        <w:t>Ц = 80/(1 + 0,06) + 85/(1 + 0,06)</w:t>
      </w:r>
      <w:r>
        <w:rPr>
          <w:rFonts w:ascii="Times New Roman" w:cs="Times New Roman" w:eastAsia="Times New Roman" w:hAnsi="Times New Roman"/>
          <w:sz w:val="36"/>
          <w:szCs w:val="36"/>
          <w:color w:val="auto"/>
          <w:vertAlign w:val="superscript"/>
        </w:rPr>
        <w:t>2</w:t>
      </w:r>
      <w:r>
        <w:rPr>
          <w:rFonts w:ascii="Times New Roman" w:cs="Times New Roman" w:eastAsia="Times New Roman" w:hAnsi="Times New Roman"/>
          <w:sz w:val="28"/>
          <w:szCs w:val="28"/>
          <w:color w:val="auto"/>
        </w:rPr>
        <w:t xml:space="preserve"> + 90/(1 + 0,06)</w:t>
      </w:r>
      <w:r>
        <w:rPr>
          <w:rFonts w:ascii="Times New Roman" w:cs="Times New Roman" w:eastAsia="Times New Roman" w:hAnsi="Times New Roman"/>
          <w:sz w:val="36"/>
          <w:szCs w:val="36"/>
          <w:color w:val="auto"/>
          <w:vertAlign w:val="superscript"/>
        </w:rPr>
        <w:t>3</w:t>
      </w:r>
      <w:r>
        <w:rPr>
          <w:rFonts w:ascii="Times New Roman" w:cs="Times New Roman" w:eastAsia="Times New Roman" w:hAnsi="Times New Roman"/>
          <w:sz w:val="28"/>
          <w:szCs w:val="28"/>
          <w:color w:val="auto"/>
        </w:rPr>
        <w:t xml:space="preserve"> + 95/(1 + 0,06)</w:t>
      </w:r>
      <w:r>
        <w:rPr>
          <w:rFonts w:ascii="Times New Roman" w:cs="Times New Roman" w:eastAsia="Times New Roman" w:hAnsi="Times New Roman"/>
          <w:sz w:val="36"/>
          <w:szCs w:val="36"/>
          <w:color w:val="auto"/>
          <w:vertAlign w:val="superscript"/>
        </w:rPr>
        <w:t>4</w:t>
      </w:r>
      <w:r>
        <w:rPr>
          <w:rFonts w:ascii="Times New Roman" w:cs="Times New Roman" w:eastAsia="Times New Roman" w:hAnsi="Times New Roman"/>
          <w:sz w:val="28"/>
          <w:szCs w:val="28"/>
          <w:color w:val="auto"/>
        </w:rPr>
        <w:t xml:space="preserve"> +</w:t>
      </w:r>
    </w:p>
    <w:p>
      <w:pPr>
        <w:ind w:left="1060" w:hanging="234"/>
        <w:spacing w:after="0" w:line="186" w:lineRule="auto"/>
        <w:tabs>
          <w:tab w:leader="none" w:pos="1060" w:val="left"/>
        </w:tabs>
        <w:numPr>
          <w:ilvl w:val="1"/>
          <w:numId w:val="2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100 /(1 + 0,06)</w:t>
      </w:r>
      <w:r>
        <w:rPr>
          <w:rFonts w:ascii="Times New Roman" w:cs="Times New Roman" w:eastAsia="Times New Roman" w:hAnsi="Times New Roman"/>
          <w:sz w:val="36"/>
          <w:szCs w:val="36"/>
          <w:color w:val="auto"/>
          <w:vertAlign w:val="superscript"/>
        </w:rPr>
        <w:t>5</w:t>
      </w:r>
      <w:r>
        <w:rPr>
          <w:rFonts w:ascii="Times New Roman" w:cs="Times New Roman" w:eastAsia="Times New Roman" w:hAnsi="Times New Roman"/>
          <w:sz w:val="28"/>
          <w:szCs w:val="28"/>
          <w:color w:val="auto"/>
        </w:rPr>
        <w:t xml:space="preserve"> + 100/(1 + 0,06)</w:t>
      </w:r>
      <w:r>
        <w:rPr>
          <w:rFonts w:ascii="Times New Roman" w:cs="Times New Roman" w:eastAsia="Times New Roman" w:hAnsi="Times New Roman"/>
          <w:sz w:val="36"/>
          <w:szCs w:val="36"/>
          <w:color w:val="auto"/>
          <w:vertAlign w:val="superscript"/>
        </w:rPr>
        <w:t>6</w:t>
      </w:r>
      <w:r>
        <w:rPr>
          <w:rFonts w:ascii="Times New Roman" w:cs="Times New Roman" w:eastAsia="Times New Roman" w:hAnsi="Times New Roman"/>
          <w:sz w:val="28"/>
          <w:szCs w:val="28"/>
          <w:color w:val="auto"/>
        </w:rPr>
        <w:t xml:space="preserve"> + 100/(1 + 0,06)</w:t>
      </w:r>
      <w:r>
        <w:rPr>
          <w:rFonts w:ascii="Times New Roman" w:cs="Times New Roman" w:eastAsia="Times New Roman" w:hAnsi="Times New Roman"/>
          <w:sz w:val="36"/>
          <w:szCs w:val="36"/>
          <w:color w:val="auto"/>
          <w:vertAlign w:val="superscript"/>
        </w:rPr>
        <w:t>7</w:t>
      </w:r>
      <w:r>
        <w:rPr>
          <w:rFonts w:ascii="Times New Roman" w:cs="Times New Roman" w:eastAsia="Times New Roman" w:hAnsi="Times New Roman"/>
          <w:sz w:val="28"/>
          <w:szCs w:val="28"/>
          <w:color w:val="auto"/>
        </w:rPr>
        <w:t xml:space="preserve"> + 100/(1 + 0,06)</w:t>
      </w:r>
      <w:r>
        <w:rPr>
          <w:rFonts w:ascii="Times New Roman" w:cs="Times New Roman" w:eastAsia="Times New Roman" w:hAnsi="Times New Roman"/>
          <w:sz w:val="36"/>
          <w:szCs w:val="36"/>
          <w:color w:val="auto"/>
          <w:vertAlign w:val="superscript"/>
        </w:rPr>
        <w:t>8</w:t>
      </w:r>
      <w:r>
        <w:rPr>
          <w:rFonts w:ascii="Times New Roman" w:cs="Times New Roman" w:eastAsia="Times New Roman" w:hAnsi="Times New Roman"/>
          <w:sz w:val="28"/>
          <w:szCs w:val="28"/>
          <w:color w:val="auto"/>
        </w:rPr>
        <w:t xml:space="preserve"> +</w:t>
      </w:r>
    </w:p>
    <w:p>
      <w:pPr>
        <w:ind w:left="960" w:hanging="223"/>
        <w:spacing w:after="0" w:line="186" w:lineRule="auto"/>
        <w:tabs>
          <w:tab w:leader="none" w:pos="960" w:val="left"/>
        </w:tabs>
        <w:numPr>
          <w:ilvl w:val="0"/>
          <w:numId w:val="2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100/(1 + 0,06)</w:t>
      </w:r>
      <w:r>
        <w:rPr>
          <w:rFonts w:ascii="Times New Roman" w:cs="Times New Roman" w:eastAsia="Times New Roman" w:hAnsi="Times New Roman"/>
          <w:sz w:val="36"/>
          <w:szCs w:val="36"/>
          <w:color w:val="auto"/>
          <w:vertAlign w:val="superscript"/>
        </w:rPr>
        <w:t>9</w:t>
      </w:r>
      <w:r>
        <w:rPr>
          <w:rFonts w:ascii="Times New Roman" w:cs="Times New Roman" w:eastAsia="Times New Roman" w:hAnsi="Times New Roman"/>
          <w:sz w:val="28"/>
          <w:szCs w:val="28"/>
          <w:color w:val="auto"/>
        </w:rPr>
        <w:t xml:space="preserve"> + 100/(1 + 0,06)</w:t>
      </w:r>
      <w:r>
        <w:rPr>
          <w:rFonts w:ascii="Times New Roman" w:cs="Times New Roman" w:eastAsia="Times New Roman" w:hAnsi="Times New Roman"/>
          <w:sz w:val="36"/>
          <w:szCs w:val="36"/>
          <w:color w:val="auto"/>
          <w:vertAlign w:val="superscript"/>
        </w:rPr>
        <w:t>10</w:t>
      </w:r>
      <w:r>
        <w:rPr>
          <w:rFonts w:ascii="Times New Roman" w:cs="Times New Roman" w:eastAsia="Times New Roman" w:hAnsi="Times New Roman"/>
          <w:sz w:val="28"/>
          <w:szCs w:val="28"/>
          <w:color w:val="auto"/>
        </w:rPr>
        <w:t xml:space="preserve"> + 110/(1 + 0,06)</w:t>
      </w:r>
      <w:r>
        <w:rPr>
          <w:rFonts w:ascii="Times New Roman" w:cs="Times New Roman" w:eastAsia="Times New Roman" w:hAnsi="Times New Roman"/>
          <w:sz w:val="36"/>
          <w:szCs w:val="36"/>
          <w:color w:val="auto"/>
          <w:vertAlign w:val="superscript"/>
        </w:rPr>
        <w:t>11</w:t>
      </w:r>
      <w:r>
        <w:rPr>
          <w:rFonts w:ascii="Times New Roman" w:cs="Times New Roman" w:eastAsia="Times New Roman" w:hAnsi="Times New Roman"/>
          <w:sz w:val="28"/>
          <w:szCs w:val="28"/>
          <w:color w:val="auto"/>
        </w:rPr>
        <w:t xml:space="preserve"> + 110/(1 + 0,06)</w:t>
      </w:r>
      <w:r>
        <w:rPr>
          <w:rFonts w:ascii="Times New Roman" w:cs="Times New Roman" w:eastAsia="Times New Roman" w:hAnsi="Times New Roman"/>
          <w:sz w:val="36"/>
          <w:szCs w:val="36"/>
          <w:color w:val="auto"/>
          <w:vertAlign w:val="superscript"/>
        </w:rPr>
        <w:t>12</w:t>
      </w:r>
      <w:r>
        <w:rPr>
          <w:rFonts w:ascii="Times New Roman" w:cs="Times New Roman" w:eastAsia="Times New Roman" w:hAnsi="Times New Roman"/>
          <w:sz w:val="28"/>
          <w:szCs w:val="28"/>
          <w:color w:val="auto"/>
        </w:rPr>
        <w:t xml:space="preserve"> +</w:t>
      </w:r>
    </w:p>
    <w:p>
      <w:pPr>
        <w:ind w:left="1260" w:hanging="227"/>
        <w:spacing w:after="0"/>
        <w:tabs>
          <w:tab w:leader="none" w:pos="1260" w:val="left"/>
        </w:tabs>
        <w:numPr>
          <w:ilvl w:val="2"/>
          <w:numId w:val="2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100/(1 + 0,06)</w:t>
      </w:r>
      <w:r>
        <w:rPr>
          <w:rFonts w:ascii="Times New Roman" w:cs="Times New Roman" w:eastAsia="Times New Roman" w:hAnsi="Times New Roman"/>
          <w:sz w:val="36"/>
          <w:szCs w:val="36"/>
          <w:color w:val="auto"/>
          <w:vertAlign w:val="superscript"/>
        </w:rPr>
        <w:t>13</w:t>
      </w:r>
      <w:r>
        <w:rPr>
          <w:rFonts w:ascii="Times New Roman" w:cs="Times New Roman" w:eastAsia="Times New Roman" w:hAnsi="Times New Roman"/>
          <w:sz w:val="28"/>
          <w:szCs w:val="28"/>
          <w:color w:val="auto"/>
        </w:rPr>
        <w:t xml:space="preserve"> + 90/(1 + 0,06)</w:t>
      </w:r>
      <w:r>
        <w:rPr>
          <w:rFonts w:ascii="Times New Roman" w:cs="Times New Roman" w:eastAsia="Times New Roman" w:hAnsi="Times New Roman"/>
          <w:sz w:val="36"/>
          <w:szCs w:val="36"/>
          <w:color w:val="auto"/>
          <w:vertAlign w:val="superscript"/>
        </w:rPr>
        <w:t>14</w:t>
      </w:r>
      <w:r>
        <w:rPr>
          <w:rFonts w:ascii="Times New Roman" w:cs="Times New Roman" w:eastAsia="Times New Roman" w:hAnsi="Times New Roman"/>
          <w:sz w:val="28"/>
          <w:szCs w:val="28"/>
          <w:color w:val="auto"/>
        </w:rPr>
        <w:t xml:space="preserve"> + 85/(1 + 0,06)</w:t>
      </w:r>
      <w:r>
        <w:rPr>
          <w:rFonts w:ascii="Times New Roman" w:cs="Times New Roman" w:eastAsia="Times New Roman" w:hAnsi="Times New Roman"/>
          <w:sz w:val="36"/>
          <w:szCs w:val="36"/>
          <w:color w:val="auto"/>
          <w:vertAlign w:val="superscript"/>
        </w:rPr>
        <w:t>15</w:t>
      </w:r>
      <w:r>
        <w:rPr>
          <w:rFonts w:ascii="Times New Roman" w:cs="Times New Roman" w:eastAsia="Times New Roman" w:hAnsi="Times New Roman"/>
          <w:sz w:val="28"/>
          <w:szCs w:val="28"/>
          <w:color w:val="auto"/>
        </w:rPr>
        <w:t xml:space="preserve"> = 927,0 ден. ед.</w:t>
      </w:r>
    </w:p>
    <w:p>
      <w:pPr>
        <w:spacing w:after="0" w:line="230" w:lineRule="exact"/>
        <w:rPr>
          <w:sz w:val="20"/>
          <w:szCs w:val="20"/>
          <w:color w:val="auto"/>
        </w:rPr>
      </w:pPr>
    </w:p>
    <w:p>
      <w:pPr>
        <w:jc w:val="both"/>
        <w:ind w:left="280" w:firstLine="702"/>
        <w:spacing w:after="0" w:line="250" w:lineRule="auto"/>
        <w:rPr>
          <w:sz w:val="20"/>
          <w:szCs w:val="20"/>
          <w:color w:val="auto"/>
        </w:rPr>
      </w:pPr>
      <w:r>
        <w:rPr>
          <w:rFonts w:ascii="Times New Roman" w:cs="Times New Roman" w:eastAsia="Times New Roman" w:hAnsi="Times New Roman"/>
          <w:sz w:val="28"/>
          <w:szCs w:val="28"/>
          <w:color w:val="auto"/>
        </w:rPr>
        <w:t>Капитализация постоянного дохода за 15 месяцев по модели Инвуда предполагает , что в качестве этого условно-постоянного дохода должен быть взят средний в месяц из ожидаемых по 15 ближайшим месяцам денежных потоков:</w:t>
      </w:r>
    </w:p>
    <w:p>
      <w:pPr>
        <w:spacing w:after="0" w:line="137" w:lineRule="exact"/>
        <w:rPr>
          <w:sz w:val="20"/>
          <w:szCs w:val="20"/>
          <w:color w:val="auto"/>
        </w:rPr>
      </w:pPr>
    </w:p>
    <w:p>
      <w:pPr>
        <w:jc w:val="center"/>
        <w:ind w:right="-239"/>
        <w:spacing w:after="0"/>
        <w:rPr>
          <w:sz w:val="20"/>
          <w:szCs w:val="20"/>
          <w:color w:val="auto"/>
        </w:rPr>
      </w:pPr>
      <w:r>
        <w:rPr>
          <w:rFonts w:ascii="Times New Roman" w:cs="Times New Roman" w:eastAsia="Times New Roman" w:hAnsi="Times New Roman"/>
          <w:sz w:val="28"/>
          <w:szCs w:val="28"/>
          <w:color w:val="auto"/>
        </w:rPr>
        <w:t>ДП</w:t>
      </w:r>
      <w:r>
        <w:rPr>
          <w:rFonts w:ascii="Times New Roman" w:cs="Times New Roman" w:eastAsia="Times New Roman" w:hAnsi="Times New Roman"/>
          <w:sz w:val="36"/>
          <w:szCs w:val="36"/>
          <w:color w:val="auto"/>
          <w:vertAlign w:val="subscript"/>
        </w:rPr>
        <w:t>ср</w:t>
      </w:r>
      <w:r>
        <w:rPr>
          <w:rFonts w:ascii="Times New Roman" w:cs="Times New Roman" w:eastAsia="Times New Roman" w:hAnsi="Times New Roman"/>
          <w:sz w:val="28"/>
          <w:szCs w:val="28"/>
          <w:color w:val="auto"/>
        </w:rPr>
        <w:t xml:space="preserve"> = (80 + 85 + 90 + 95 + 100 + 100 + 100 + 100 +</w:t>
      </w:r>
    </w:p>
    <w:p>
      <w:pPr>
        <w:spacing w:after="0" w:line="40" w:lineRule="exact"/>
        <w:rPr>
          <w:sz w:val="20"/>
          <w:szCs w:val="20"/>
          <w:color w:val="auto"/>
        </w:rPr>
      </w:pPr>
    </w:p>
    <w:p>
      <w:pPr>
        <w:jc w:val="center"/>
        <w:ind w:right="-239"/>
        <w:spacing w:after="0"/>
        <w:rPr>
          <w:sz w:val="20"/>
          <w:szCs w:val="20"/>
          <w:color w:val="auto"/>
        </w:rPr>
      </w:pPr>
      <w:r>
        <w:rPr>
          <w:rFonts w:ascii="Times New Roman" w:cs="Times New Roman" w:eastAsia="Times New Roman" w:hAnsi="Times New Roman"/>
          <w:sz w:val="28"/>
          <w:szCs w:val="28"/>
          <w:color w:val="auto"/>
        </w:rPr>
        <w:t>+ 100 + 100 + 110 + 110 + 100 + 90 + 85)/15 = 96,33 ден. ед.</w:t>
      </w:r>
    </w:p>
    <w:p>
      <w:pPr>
        <w:spacing w:after="0" w:line="321" w:lineRule="exact"/>
        <w:rPr>
          <w:sz w:val="20"/>
          <w:szCs w:val="20"/>
          <w:color w:val="auto"/>
        </w:rPr>
      </w:pPr>
    </w:p>
    <w:p>
      <w:pPr>
        <w:jc w:val="both"/>
        <w:ind w:left="260" w:firstLine="702"/>
        <w:spacing w:after="0" w:line="247" w:lineRule="auto"/>
        <w:rPr>
          <w:sz w:val="20"/>
          <w:szCs w:val="20"/>
          <w:color w:val="auto"/>
        </w:rPr>
      </w:pPr>
      <w:r>
        <w:rPr>
          <w:rFonts w:ascii="Times New Roman" w:cs="Times New Roman" w:eastAsia="Times New Roman" w:hAnsi="Times New Roman"/>
          <w:sz w:val="28"/>
          <w:szCs w:val="28"/>
          <w:color w:val="auto"/>
        </w:rPr>
        <w:t>Согласно модели Инвуда в коэффициенте капитализации ограниченного во времени постоянного дохода и норма текущего дохода, и норма возврата капитала основываются на учитывающей риски бизнеса месячной ставке дисконта i = 0,06. Оценка бизнеса тогда производится по модели Инвуда и дает такую величину рыночной стоимости бизнеса:</w:t>
      </w:r>
    </w:p>
    <w:p>
      <w:pPr>
        <w:spacing w:after="0" w:line="144" w:lineRule="exact"/>
        <w:rPr>
          <w:sz w:val="20"/>
          <w:szCs w:val="20"/>
          <w:color w:val="auto"/>
        </w:rPr>
      </w:pPr>
    </w:p>
    <w:p>
      <w:pPr>
        <w:ind w:left="2320" w:hanging="273"/>
        <w:spacing w:after="0"/>
        <w:tabs>
          <w:tab w:leader="none" w:pos="2320" w:val="left"/>
        </w:tabs>
        <w:numPr>
          <w:ilvl w:val="1"/>
          <w:numId w:val="2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ДП</w:t>
      </w:r>
      <w:r>
        <w:rPr>
          <w:rFonts w:ascii="Times New Roman" w:cs="Times New Roman" w:eastAsia="Times New Roman" w:hAnsi="Times New Roman"/>
          <w:sz w:val="36"/>
          <w:szCs w:val="36"/>
          <w:color w:val="auto"/>
          <w:vertAlign w:val="subscript"/>
        </w:rPr>
        <w:t>ср</w:t>
      </w:r>
      <w:r>
        <w:rPr>
          <w:rFonts w:ascii="Times New Roman" w:cs="Times New Roman" w:eastAsia="Times New Roman" w:hAnsi="Times New Roman"/>
          <w:sz w:val="28"/>
          <w:szCs w:val="28"/>
          <w:color w:val="auto"/>
        </w:rPr>
        <w:t>/(i + 1/S</w:t>
      </w:r>
      <w:r>
        <w:rPr>
          <w:rFonts w:ascii="Times New Roman" w:cs="Times New Roman" w:eastAsia="Times New Roman" w:hAnsi="Times New Roman"/>
          <w:sz w:val="36"/>
          <w:szCs w:val="36"/>
          <w:color w:val="auto"/>
          <w:vertAlign w:val="subscript"/>
        </w:rPr>
        <w:t>n</w:t>
      </w:r>
      <w:r>
        <w:rPr>
          <w:rFonts w:ascii="Times New Roman" w:cs="Times New Roman" w:eastAsia="Times New Roman" w:hAnsi="Times New Roman"/>
          <w:sz w:val="28"/>
          <w:szCs w:val="28"/>
          <w:color w:val="auto"/>
        </w:rPr>
        <w:t>(n,i)) = ДП</w:t>
      </w:r>
      <w:r>
        <w:rPr>
          <w:rFonts w:ascii="Times New Roman" w:cs="Times New Roman" w:eastAsia="Times New Roman" w:hAnsi="Times New Roman"/>
          <w:sz w:val="36"/>
          <w:szCs w:val="36"/>
          <w:color w:val="auto"/>
          <w:vertAlign w:val="subscript"/>
        </w:rPr>
        <w:t>ср</w:t>
      </w:r>
      <w:r>
        <w:rPr>
          <w:rFonts w:ascii="Times New Roman" w:cs="Times New Roman" w:eastAsia="Times New Roman" w:hAnsi="Times New Roman"/>
          <w:sz w:val="28"/>
          <w:szCs w:val="28"/>
          <w:color w:val="auto"/>
        </w:rPr>
        <w:t>/(i + i/((1+i)</w:t>
      </w:r>
      <w:r>
        <w:rPr>
          <w:rFonts w:ascii="Times New Roman" w:cs="Times New Roman" w:eastAsia="Times New Roman" w:hAnsi="Times New Roman"/>
          <w:sz w:val="36"/>
          <w:szCs w:val="36"/>
          <w:color w:val="auto"/>
          <w:vertAlign w:val="superscript"/>
        </w:rPr>
        <w:t>n</w:t>
      </w:r>
      <w:r>
        <w:rPr>
          <w:rFonts w:ascii="Times New Roman" w:cs="Times New Roman" w:eastAsia="Times New Roman" w:hAnsi="Times New Roman"/>
          <w:sz w:val="28"/>
          <w:szCs w:val="28"/>
          <w:color w:val="auto"/>
        </w:rPr>
        <w:t xml:space="preserve"> – 1)) =</w:t>
      </w:r>
    </w:p>
    <w:p>
      <w:pPr>
        <w:spacing w:after="0" w:line="39" w:lineRule="exact"/>
        <w:rPr>
          <w:rFonts w:ascii="Times New Roman" w:cs="Times New Roman" w:eastAsia="Times New Roman" w:hAnsi="Times New Roman"/>
          <w:sz w:val="28"/>
          <w:szCs w:val="28"/>
          <w:color w:val="auto"/>
        </w:rPr>
      </w:pPr>
    </w:p>
    <w:p>
      <w:pPr>
        <w:ind w:left="2220" w:hanging="229"/>
        <w:spacing w:after="0"/>
        <w:tabs>
          <w:tab w:leader="none" w:pos="2220" w:val="left"/>
        </w:tabs>
        <w:numPr>
          <w:ilvl w:val="0"/>
          <w:numId w:val="2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96,33/(0,06+0,06/((1+0,06)</w:t>
      </w:r>
      <w:r>
        <w:rPr>
          <w:rFonts w:ascii="Times New Roman" w:cs="Times New Roman" w:eastAsia="Times New Roman" w:hAnsi="Times New Roman"/>
          <w:sz w:val="36"/>
          <w:szCs w:val="36"/>
          <w:color w:val="auto"/>
          <w:vertAlign w:val="superscript"/>
        </w:rPr>
        <w:t>15</w:t>
      </w:r>
      <w:r>
        <w:rPr>
          <w:rFonts w:ascii="Times New Roman" w:cs="Times New Roman" w:eastAsia="Times New Roman" w:hAnsi="Times New Roman"/>
          <w:sz w:val="28"/>
          <w:szCs w:val="28"/>
          <w:color w:val="auto"/>
        </w:rPr>
        <w:t xml:space="preserve"> -1))) = 935,0 ден.ед.</w:t>
      </w:r>
    </w:p>
    <w:p>
      <w:pPr>
        <w:spacing w:after="0" w:line="229" w:lineRule="exact"/>
        <w:rPr>
          <w:sz w:val="20"/>
          <w:szCs w:val="20"/>
          <w:color w:val="auto"/>
        </w:rPr>
      </w:pPr>
    </w:p>
    <w:p>
      <w:pPr>
        <w:jc w:val="both"/>
        <w:ind w:left="280" w:firstLine="702"/>
        <w:spacing w:after="0" w:line="231" w:lineRule="auto"/>
        <w:rPr>
          <w:sz w:val="20"/>
          <w:szCs w:val="20"/>
          <w:color w:val="auto"/>
        </w:rPr>
      </w:pPr>
      <w:r>
        <w:rPr>
          <w:rFonts w:ascii="Times New Roman" w:cs="Times New Roman" w:eastAsia="Times New Roman" w:hAnsi="Times New Roman"/>
          <w:sz w:val="28"/>
          <w:szCs w:val="28"/>
          <w:color w:val="auto"/>
        </w:rPr>
        <w:t>Оценка рассматриваемого бизнеса методом капитализации постоянного дохода (на уровне среднемесячного денежного потока ДП</w:t>
      </w:r>
      <w:r>
        <w:rPr>
          <w:rFonts w:ascii="Times New Roman" w:cs="Times New Roman" w:eastAsia="Times New Roman" w:hAnsi="Times New Roman"/>
          <w:sz w:val="36"/>
          <w:szCs w:val="36"/>
          <w:color w:val="auto"/>
          <w:vertAlign w:val="subscript"/>
        </w:rPr>
        <w:t>ср</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i w:val="1"/>
          <w:iCs w:val="1"/>
          <w:color w:val="auto"/>
        </w:rPr>
        <w:t>=</w:t>
      </w:r>
      <w:r>
        <w:rPr>
          <w:rFonts w:ascii="Times New Roman" w:cs="Times New Roman" w:eastAsia="Times New Roman" w:hAnsi="Times New Roman"/>
          <w:sz w:val="28"/>
          <w:szCs w:val="28"/>
          <w:color w:val="auto"/>
        </w:rPr>
        <w:t xml:space="preserve"> 96,33 ден. ед.), если принять, что этот доход можно получать неопределенно длительный период (гораздо больше 15 месяцев), окажется равной:</w:t>
      </w:r>
    </w:p>
    <w:p>
      <w:pPr>
        <w:spacing w:after="0" w:line="151" w:lineRule="exact"/>
        <w:rPr>
          <w:sz w:val="20"/>
          <w:szCs w:val="20"/>
          <w:color w:val="auto"/>
        </w:rPr>
      </w:pPr>
    </w:p>
    <w:p>
      <w:pPr>
        <w:ind w:left="2860" w:hanging="263"/>
        <w:spacing w:after="0"/>
        <w:tabs>
          <w:tab w:leader="none" w:pos="2860" w:val="left"/>
        </w:tabs>
        <w:numPr>
          <w:ilvl w:val="0"/>
          <w:numId w:val="2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ДП</w:t>
      </w:r>
      <w:r>
        <w:rPr>
          <w:rFonts w:ascii="Times New Roman" w:cs="Times New Roman" w:eastAsia="Times New Roman" w:hAnsi="Times New Roman"/>
          <w:sz w:val="36"/>
          <w:szCs w:val="36"/>
          <w:color w:val="auto"/>
          <w:vertAlign w:val="subscript"/>
        </w:rPr>
        <w:t>ср</w:t>
      </w:r>
      <w:r>
        <w:rPr>
          <w:rFonts w:ascii="Times New Roman" w:cs="Times New Roman" w:eastAsia="Times New Roman" w:hAnsi="Times New Roman"/>
          <w:sz w:val="28"/>
          <w:szCs w:val="28"/>
          <w:color w:val="auto"/>
        </w:rPr>
        <w:t>/i = 96,33/0,06 = 1605,5 ден.ед.</w:t>
      </w:r>
    </w:p>
    <w:p>
      <w:pPr>
        <w:spacing w:after="0" w:line="360" w:lineRule="exact"/>
        <w:rPr>
          <w:sz w:val="20"/>
          <w:szCs w:val="20"/>
          <w:color w:val="auto"/>
        </w:rPr>
      </w:pPr>
    </w:p>
    <w:p>
      <w:pPr>
        <w:ind w:left="980"/>
        <w:spacing w:after="0"/>
        <w:rPr>
          <w:sz w:val="20"/>
          <w:szCs w:val="20"/>
          <w:color w:val="auto"/>
        </w:rPr>
      </w:pPr>
      <w:r>
        <w:rPr>
          <w:rFonts w:ascii="Times New Roman" w:cs="Times New Roman" w:eastAsia="Times New Roman" w:hAnsi="Times New Roman"/>
          <w:sz w:val="28"/>
          <w:szCs w:val="28"/>
          <w:u w:val="single" w:color="auto"/>
          <w:color w:val="auto"/>
        </w:rPr>
        <w:t>Комментарий.</w:t>
      </w:r>
    </w:p>
    <w:p>
      <w:pPr>
        <w:spacing w:after="0" w:line="1" w:lineRule="exact"/>
        <w:rPr>
          <w:sz w:val="20"/>
          <w:szCs w:val="20"/>
          <w:color w:val="auto"/>
        </w:rPr>
      </w:pPr>
    </w:p>
    <w:p>
      <w:pPr>
        <w:jc w:val="both"/>
        <w:ind w:left="280" w:firstLine="702"/>
        <w:spacing w:after="0" w:line="242" w:lineRule="auto"/>
        <w:rPr>
          <w:sz w:val="20"/>
          <w:szCs w:val="20"/>
          <w:color w:val="auto"/>
        </w:rPr>
      </w:pPr>
      <w:r>
        <w:rPr>
          <w:rFonts w:ascii="Times New Roman" w:cs="Times New Roman" w:eastAsia="Times New Roman" w:hAnsi="Times New Roman"/>
          <w:sz w:val="28"/>
          <w:szCs w:val="28"/>
          <w:color w:val="auto"/>
        </w:rPr>
        <w:t>Полученные три оценки характерны, так как из них четко видно, что наиболее реалистична всегда оценка бизнеса, определенная на основе прямого учета по отдельности прогнозируемых переменных доходов с него. Эта оценка оказалась самой низкой. Чуть более завышенной оказывается оценка стоимости того же бизнеса, корректно рассчитанная методом капитализации ограниченного во времени постоянного дохода - при условии (как это наблюдалось в данной задаче), что условно-постоянный доход берется на уровне вызывающей доверие величины среднего за срок бизнеса дохода (колеблемость по отдельности прогнозируемых за конкретные будущие периоды относительно этой средней незначительна). Стоимость же бизнеса при предположении о неопределенно длительном сроке его полезной жизни может быть серьезно больше (в изложенном примере - более чем в 1,7 раза по сравнению со стоимостью бизнеса в расчете на ограниченный срок его ведения).</w:t>
      </w:r>
    </w:p>
    <w:p>
      <w:pPr>
        <w:spacing w:after="0" w:line="197" w:lineRule="exact"/>
        <w:rPr>
          <w:sz w:val="20"/>
          <w:szCs w:val="20"/>
          <w:color w:val="auto"/>
        </w:rPr>
      </w:pPr>
    </w:p>
    <w:p>
      <w:pPr>
        <w:ind w:left="9380"/>
        <w:spacing w:after="0"/>
        <w:rPr>
          <w:sz w:val="20"/>
          <w:szCs w:val="20"/>
          <w:color w:val="auto"/>
        </w:rPr>
      </w:pPr>
      <w:r>
        <w:rPr>
          <w:rFonts w:ascii="Times New Roman" w:cs="Times New Roman" w:eastAsia="Times New Roman" w:hAnsi="Times New Roman"/>
          <w:sz w:val="24"/>
          <w:szCs w:val="24"/>
          <w:color w:val="auto"/>
        </w:rPr>
        <w:t>10</w:t>
      </w:r>
    </w:p>
    <w:p>
      <w:pPr>
        <w:sectPr>
          <w:pgSz w:w="11900" w:h="16840" w:orient="portrait"/>
          <w:cols w:equalWidth="0" w:num="1">
            <w:col w:w="9620"/>
          </w:cols>
          <w:pgMar w:left="1440" w:top="1342" w:right="844" w:bottom="163" w:gutter="0" w:footer="0" w:header="0"/>
        </w:sectPr>
      </w:pPr>
    </w:p>
    <w:p>
      <w:pPr>
        <w:ind w:left="980"/>
        <w:spacing w:after="0"/>
        <w:rPr>
          <w:sz w:val="20"/>
          <w:szCs w:val="20"/>
          <w:color w:val="auto"/>
        </w:rPr>
      </w:pPr>
      <w:r>
        <w:rPr>
          <w:rFonts w:ascii="Times New Roman" w:cs="Times New Roman" w:eastAsia="Times New Roman" w:hAnsi="Times New Roman"/>
          <w:sz w:val="28"/>
          <w:szCs w:val="28"/>
          <w:u w:val="single" w:color="auto"/>
          <w:color w:val="auto"/>
        </w:rPr>
        <w:t>Задача</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u w:val="single" w:color="auto"/>
          <w:color w:val="auto"/>
        </w:rPr>
        <w:t>1.6.</w:t>
      </w:r>
      <w:r>
        <w:rPr>
          <w:rFonts w:ascii="Times New Roman" w:cs="Times New Roman" w:eastAsia="Times New Roman" w:hAnsi="Times New Roman"/>
          <w:sz w:val="28"/>
          <w:szCs w:val="28"/>
          <w:color w:val="auto"/>
        </w:rPr>
        <w:t xml:space="preserve"> Какую максимальную цену можно ожидать за предприятие</w:t>
      </w:r>
    </w:p>
    <w:p>
      <w:pPr>
        <w:jc w:val="both"/>
        <w:ind w:left="260" w:right="20" w:firstLine="2"/>
        <w:spacing w:after="0" w:line="245" w:lineRule="auto"/>
        <w:tabs>
          <w:tab w:leader="none" w:pos="567" w:val="left"/>
        </w:tabs>
        <w:numPr>
          <w:ilvl w:val="0"/>
          <w:numId w:val="2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настоящий момент, если в его выдержавшем требовательную защиту бизнес-плане намечается, что через 4 года (длительность прогнозного периода) денежный поток предприятия выйдет на уровень 100 000 руб. при выявлении, уже начиная с перехода от второго к третьему году прогнозного периода, стабильного темпа прироста в 3%. Бизнес предприятия является долгосрочным. Указать на время его окончания невозможно. Рекомендуемая ставка дисконта - 25%.</w:t>
      </w:r>
    </w:p>
    <w:p>
      <w:pPr>
        <w:spacing w:after="0" w:line="275" w:lineRule="exact"/>
        <w:rPr>
          <w:sz w:val="20"/>
          <w:szCs w:val="20"/>
          <w:color w:val="auto"/>
        </w:rPr>
      </w:pPr>
    </w:p>
    <w:p>
      <w:pPr>
        <w:ind w:left="980"/>
        <w:spacing w:after="0"/>
        <w:rPr>
          <w:sz w:val="20"/>
          <w:szCs w:val="20"/>
          <w:color w:val="auto"/>
        </w:rPr>
      </w:pPr>
      <w:r>
        <w:rPr>
          <w:rFonts w:ascii="Times New Roman" w:cs="Times New Roman" w:eastAsia="Times New Roman" w:hAnsi="Times New Roman"/>
          <w:sz w:val="28"/>
          <w:szCs w:val="28"/>
          <w:u w:val="single" w:color="auto"/>
          <w:color w:val="auto"/>
        </w:rPr>
        <w:t>Решение.</w:t>
      </w:r>
    </w:p>
    <w:p>
      <w:pPr>
        <w:jc w:val="both"/>
        <w:ind w:left="260" w:firstLine="722"/>
        <w:spacing w:after="0" w:line="234" w:lineRule="auto"/>
        <w:tabs>
          <w:tab w:leader="none" w:pos="1431" w:val="left"/>
        </w:tabs>
        <w:numPr>
          <w:ilvl w:val="0"/>
          <w:numId w:val="3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Согласно модели Гордона, прогнозная остаточная стоимость предприятия на конец четвертого года равна (на основе величины денежного потока, планируемого на пятый год, который явится первым годом, когда все заработанные предприятием средства могут быть с него изъяты новым владельцем, покупающим предприятие по цене Ц</w:t>
      </w:r>
      <w:r>
        <w:rPr>
          <w:rFonts w:ascii="Times New Roman" w:cs="Times New Roman" w:eastAsia="Times New Roman" w:hAnsi="Times New Roman"/>
          <w:sz w:val="36"/>
          <w:szCs w:val="36"/>
          <w:color w:val="auto"/>
          <w:vertAlign w:val="subscript"/>
        </w:rPr>
        <w:t>4</w:t>
      </w:r>
      <w:r>
        <w:rPr>
          <w:rFonts w:ascii="Times New Roman" w:cs="Times New Roman" w:eastAsia="Times New Roman" w:hAnsi="Times New Roman"/>
          <w:sz w:val="28"/>
          <w:szCs w:val="28"/>
          <w:color w:val="auto"/>
        </w:rPr>
        <w:t xml:space="preserve"> в течение четвертого года):</w:t>
      </w:r>
    </w:p>
    <w:p>
      <w:pPr>
        <w:spacing w:after="0" w:line="150" w:lineRule="exact"/>
        <w:rPr>
          <w:sz w:val="20"/>
          <w:szCs w:val="20"/>
          <w:color w:val="auto"/>
        </w:rPr>
      </w:pPr>
    </w:p>
    <w:p>
      <w:pPr>
        <w:ind w:left="1860"/>
        <w:spacing w:after="0"/>
        <w:rPr>
          <w:sz w:val="20"/>
          <w:szCs w:val="20"/>
          <w:color w:val="auto"/>
        </w:rPr>
      </w:pPr>
      <w:r>
        <w:rPr>
          <w:rFonts w:ascii="Times New Roman" w:cs="Times New Roman" w:eastAsia="Times New Roman" w:hAnsi="Times New Roman"/>
          <w:sz w:val="28"/>
          <w:szCs w:val="28"/>
          <w:color w:val="auto"/>
        </w:rPr>
        <w:t>Ц</w:t>
      </w:r>
      <w:r>
        <w:rPr>
          <w:rFonts w:ascii="Times New Roman" w:cs="Times New Roman" w:eastAsia="Times New Roman" w:hAnsi="Times New Roman"/>
          <w:sz w:val="36"/>
          <w:szCs w:val="36"/>
          <w:color w:val="auto"/>
          <w:vertAlign w:val="subscript"/>
        </w:rPr>
        <w:t>4</w:t>
      </w:r>
      <w:r>
        <w:rPr>
          <w:rFonts w:ascii="Times New Roman" w:cs="Times New Roman" w:eastAsia="Times New Roman" w:hAnsi="Times New Roman"/>
          <w:sz w:val="28"/>
          <w:szCs w:val="28"/>
          <w:color w:val="auto"/>
        </w:rPr>
        <w:t xml:space="preserve"> = 100 000 · (1+0,03)/(0,25 - 0,03) = 468 181,8 руб.</w:t>
      </w:r>
    </w:p>
    <w:p>
      <w:pPr>
        <w:spacing w:after="0" w:line="361" w:lineRule="exact"/>
        <w:rPr>
          <w:sz w:val="20"/>
          <w:szCs w:val="20"/>
          <w:color w:val="auto"/>
        </w:rPr>
      </w:pPr>
    </w:p>
    <w:p>
      <w:pPr>
        <w:jc w:val="both"/>
        <w:ind w:left="260" w:firstLine="722"/>
        <w:spacing w:after="0" w:line="224" w:lineRule="auto"/>
        <w:tabs>
          <w:tab w:leader="none" w:pos="1329" w:val="left"/>
        </w:tabs>
        <w:numPr>
          <w:ilvl w:val="0"/>
          <w:numId w:val="3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Текущий эквивалент этой величины (текущая стоимость данного дохода, возможного от перепродажи предприятия через четыре года), который и является макимально допустимой ценой Ц</w:t>
      </w:r>
      <w:r>
        <w:rPr>
          <w:rFonts w:ascii="Times New Roman" w:cs="Times New Roman" w:eastAsia="Times New Roman" w:hAnsi="Times New Roman"/>
          <w:sz w:val="36"/>
          <w:szCs w:val="36"/>
          <w:color w:val="auto"/>
          <w:vertAlign w:val="subscript"/>
        </w:rPr>
        <w:t>0</w:t>
      </w:r>
      <w:r>
        <w:rPr>
          <w:rFonts w:ascii="Times New Roman" w:cs="Times New Roman" w:eastAsia="Times New Roman" w:hAnsi="Times New Roman"/>
          <w:sz w:val="28"/>
          <w:szCs w:val="28"/>
          <w:color w:val="auto"/>
        </w:rPr>
        <w:t xml:space="preserve"> за предприятие в настоящее время для инвестора, собирающегося его перепродать через четыре года, представляет собой результат дисконтирования вероятной цены Ц</w:t>
      </w:r>
      <w:r>
        <w:rPr>
          <w:rFonts w:ascii="Times New Roman" w:cs="Times New Roman" w:eastAsia="Times New Roman" w:hAnsi="Times New Roman"/>
          <w:sz w:val="36"/>
          <w:szCs w:val="36"/>
          <w:color w:val="auto"/>
          <w:vertAlign w:val="subscript"/>
        </w:rPr>
        <w:t>4</w:t>
      </w:r>
      <w:r>
        <w:rPr>
          <w:rFonts w:ascii="Times New Roman" w:cs="Times New Roman" w:eastAsia="Times New Roman" w:hAnsi="Times New Roman"/>
          <w:sz w:val="28"/>
          <w:szCs w:val="28"/>
          <w:color w:val="auto"/>
        </w:rPr>
        <w:t xml:space="preserve"> на четыре года «назад» во времени:</w:t>
      </w:r>
    </w:p>
    <w:p>
      <w:pPr>
        <w:spacing w:after="0" w:line="148" w:lineRule="exact"/>
        <w:rPr>
          <w:sz w:val="20"/>
          <w:szCs w:val="20"/>
          <w:color w:val="auto"/>
        </w:rPr>
      </w:pPr>
    </w:p>
    <w:p>
      <w:pPr>
        <w:ind w:left="2520"/>
        <w:spacing w:after="0"/>
        <w:rPr>
          <w:sz w:val="20"/>
          <w:szCs w:val="20"/>
          <w:color w:val="auto"/>
        </w:rPr>
      </w:pPr>
      <w:r>
        <w:rPr>
          <w:rFonts w:ascii="Times New Roman" w:cs="Times New Roman" w:eastAsia="Times New Roman" w:hAnsi="Times New Roman"/>
          <w:sz w:val="28"/>
          <w:szCs w:val="28"/>
          <w:color w:val="auto"/>
        </w:rPr>
        <w:t>Ц</w:t>
      </w:r>
      <w:r>
        <w:rPr>
          <w:rFonts w:ascii="Times New Roman" w:cs="Times New Roman" w:eastAsia="Times New Roman" w:hAnsi="Times New Roman"/>
          <w:sz w:val="36"/>
          <w:szCs w:val="36"/>
          <w:color w:val="auto"/>
          <w:vertAlign w:val="subscript"/>
        </w:rPr>
        <w:t>0</w:t>
      </w:r>
      <w:r>
        <w:rPr>
          <w:rFonts w:ascii="Times New Roman" w:cs="Times New Roman" w:eastAsia="Times New Roman" w:hAnsi="Times New Roman"/>
          <w:sz w:val="28"/>
          <w:szCs w:val="28"/>
          <w:color w:val="auto"/>
        </w:rPr>
        <w:t xml:space="preserve"> = 468 181,8/(1+0,25)</w:t>
      </w:r>
      <w:r>
        <w:rPr>
          <w:rFonts w:ascii="Times New Roman" w:cs="Times New Roman" w:eastAsia="Times New Roman" w:hAnsi="Times New Roman"/>
          <w:sz w:val="36"/>
          <w:szCs w:val="36"/>
          <w:color w:val="auto"/>
          <w:vertAlign w:val="superscript"/>
        </w:rPr>
        <w:t>4</w:t>
      </w:r>
      <w:r>
        <w:rPr>
          <w:rFonts w:ascii="Times New Roman" w:cs="Times New Roman" w:eastAsia="Times New Roman" w:hAnsi="Times New Roman"/>
          <w:sz w:val="28"/>
          <w:szCs w:val="28"/>
          <w:color w:val="auto"/>
        </w:rPr>
        <w:t xml:space="preserve"> = 192 667,0 руб.</w:t>
      </w:r>
    </w:p>
    <w:p>
      <w:pPr>
        <w:spacing w:after="0" w:line="361" w:lineRule="exact"/>
        <w:rPr>
          <w:sz w:val="20"/>
          <w:szCs w:val="20"/>
          <w:color w:val="auto"/>
        </w:rPr>
      </w:pPr>
    </w:p>
    <w:p>
      <w:pPr>
        <w:ind w:left="260" w:right="40" w:firstLine="716"/>
        <w:spacing w:after="0" w:line="239" w:lineRule="auto"/>
        <w:rPr>
          <w:sz w:val="20"/>
          <w:szCs w:val="20"/>
          <w:color w:val="auto"/>
        </w:rPr>
      </w:pPr>
      <w:r>
        <w:rPr>
          <w:rFonts w:ascii="Times New Roman" w:cs="Times New Roman" w:eastAsia="Times New Roman" w:hAnsi="Times New Roman"/>
          <w:sz w:val="28"/>
          <w:szCs w:val="28"/>
          <w:u w:val="single" w:color="auto"/>
          <w:color w:val="auto"/>
        </w:rPr>
        <w:t>Задача</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u w:val="single" w:color="auto"/>
          <w:color w:val="auto"/>
        </w:rPr>
        <w:t>1.7.</w:t>
      </w:r>
      <w:r>
        <w:rPr>
          <w:rFonts w:ascii="Times New Roman" w:cs="Times New Roman" w:eastAsia="Times New Roman" w:hAnsi="Times New Roman"/>
          <w:sz w:val="28"/>
          <w:szCs w:val="28"/>
          <w:color w:val="auto"/>
        </w:rPr>
        <w:t xml:space="preserve"> Рассчитать остаточную текущую стоимость бизнеса, если известна следующая информация.</w:t>
      </w:r>
    </w:p>
    <w:p>
      <w:pPr>
        <w:spacing w:after="0" w:line="2" w:lineRule="exact"/>
        <w:rPr>
          <w:sz w:val="20"/>
          <w:szCs w:val="20"/>
          <w:color w:val="auto"/>
        </w:rPr>
      </w:pPr>
    </w:p>
    <w:p>
      <w:pPr>
        <w:ind w:left="980"/>
        <w:spacing w:after="0"/>
        <w:rPr>
          <w:sz w:val="20"/>
          <w:szCs w:val="20"/>
          <w:color w:val="auto"/>
        </w:rPr>
      </w:pPr>
      <w:r>
        <w:rPr>
          <w:rFonts w:ascii="Times New Roman" w:cs="Times New Roman" w:eastAsia="Times New Roman" w:hAnsi="Times New Roman"/>
          <w:sz w:val="28"/>
          <w:szCs w:val="28"/>
          <w:color w:val="auto"/>
        </w:rPr>
        <w:t>На ближайшие три года планируются денежные потоки: за первый год</w:t>
      </w:r>
    </w:p>
    <w:p>
      <w:pPr>
        <w:spacing w:after="0" w:line="1" w:lineRule="exact"/>
        <w:rPr>
          <w:sz w:val="20"/>
          <w:szCs w:val="20"/>
          <w:color w:val="auto"/>
        </w:rPr>
      </w:pPr>
    </w:p>
    <w:p>
      <w:pPr>
        <w:jc w:val="both"/>
        <w:ind w:left="260" w:right="40"/>
        <w:spacing w:after="0"/>
        <w:rPr>
          <w:sz w:val="20"/>
          <w:szCs w:val="20"/>
          <w:color w:val="auto"/>
        </w:rPr>
      </w:pPr>
      <w:r>
        <w:rPr>
          <w:rFonts w:ascii="Times New Roman" w:cs="Times New Roman" w:eastAsia="Times New Roman" w:hAnsi="Times New Roman"/>
          <w:sz w:val="28"/>
          <w:szCs w:val="28"/>
          <w:color w:val="auto"/>
        </w:rPr>
        <w:t>– 50 000 руб.; за второй год - 75 000 руб.; за третий год - 80 000 руб. В дальнейшем денежные потоки прогнозируются как стабильные (на уровне третьего года) в течение неопределенно длительного времени.</w:t>
      </w:r>
    </w:p>
    <w:p>
      <w:pPr>
        <w:jc w:val="both"/>
        <w:ind w:left="260" w:firstLine="716"/>
        <w:spacing w:after="0" w:line="239" w:lineRule="auto"/>
        <w:rPr>
          <w:sz w:val="20"/>
          <w:szCs w:val="20"/>
          <w:color w:val="auto"/>
        </w:rPr>
      </w:pPr>
      <w:r>
        <w:rPr>
          <w:rFonts w:ascii="Times New Roman" w:cs="Times New Roman" w:eastAsia="Times New Roman" w:hAnsi="Times New Roman"/>
          <w:sz w:val="28"/>
          <w:szCs w:val="28"/>
          <w:color w:val="auto"/>
        </w:rPr>
        <w:t>Реальная безрисковая ставка - 1,5% годовых. Согласно плану-прогнозу Министерства экономического развития и торговли инфляция в стране в ближайшие три года будет составлять по оптимистическому сценарию в первом следующем году - 11 %, во втором году - 9%, в третьем году - 7%. По пессимистическому сценарию инфляция окажется равной 14% в первом году, 13% во втором году и 12% в третьем году. Наиболее вероятный сценарий предполагает, что инфляция достигнет 12% в первом году, 10% - во втором и 8% - в третьем. В дальнейшем инфляция должна стабилизироваться и оставаться в среднем на уровне третьего года.</w:t>
      </w:r>
    </w:p>
    <w:p>
      <w:pPr>
        <w:spacing w:after="0" w:line="11" w:lineRule="exact"/>
        <w:rPr>
          <w:sz w:val="20"/>
          <w:szCs w:val="20"/>
          <w:color w:val="auto"/>
        </w:rPr>
      </w:pPr>
    </w:p>
    <w:p>
      <w:pPr>
        <w:jc w:val="both"/>
        <w:ind w:left="260" w:right="20" w:firstLine="716"/>
        <w:spacing w:after="0" w:line="271" w:lineRule="auto"/>
        <w:rPr>
          <w:sz w:val="20"/>
          <w:szCs w:val="20"/>
          <w:color w:val="auto"/>
        </w:rPr>
      </w:pPr>
      <w:r>
        <w:rPr>
          <w:rFonts w:ascii="Times New Roman" w:cs="Times New Roman" w:eastAsia="Times New Roman" w:hAnsi="Times New Roman"/>
          <w:sz w:val="28"/>
          <w:szCs w:val="28"/>
          <w:color w:val="auto"/>
        </w:rPr>
        <w:t>Наиболее устойчивые по своим значениям коэффициенты «бета» по трем открытым компаниям отрасли составляют на момент оценки: у</w:t>
      </w:r>
    </w:p>
    <w:p>
      <w:pPr>
        <w:sectPr>
          <w:pgSz w:w="11900" w:h="16840" w:orient="portrait"/>
          <w:cols w:equalWidth="0" w:num="1">
            <w:col w:w="9620"/>
          </w:cols>
          <w:pgMar w:left="1440" w:top="1112" w:right="844" w:bottom="163" w:gutter="0" w:footer="0" w:header="0"/>
        </w:sectPr>
      </w:pPr>
    </w:p>
    <w:p>
      <w:pPr>
        <w:spacing w:after="0" w:line="152" w:lineRule="exact"/>
        <w:rPr>
          <w:sz w:val="20"/>
          <w:szCs w:val="20"/>
          <w:color w:val="auto"/>
        </w:rPr>
      </w:pPr>
    </w:p>
    <w:p>
      <w:pPr>
        <w:ind w:left="9380"/>
        <w:spacing w:after="0"/>
        <w:rPr>
          <w:sz w:val="20"/>
          <w:szCs w:val="20"/>
          <w:color w:val="auto"/>
        </w:rPr>
      </w:pPr>
      <w:r>
        <w:rPr>
          <w:rFonts w:ascii="Times New Roman" w:cs="Times New Roman" w:eastAsia="Times New Roman" w:hAnsi="Times New Roman"/>
          <w:sz w:val="24"/>
          <w:szCs w:val="24"/>
          <w:color w:val="auto"/>
        </w:rPr>
        <w:t>11</w:t>
      </w:r>
    </w:p>
    <w:p>
      <w:pPr>
        <w:sectPr>
          <w:pgSz w:w="11900" w:h="16840" w:orient="portrait"/>
          <w:cols w:equalWidth="0" w:num="1">
            <w:col w:w="9620"/>
          </w:cols>
          <w:pgMar w:left="1440" w:top="1112" w:right="844" w:bottom="163" w:gutter="0" w:footer="0" w:header="0"/>
          <w:type w:val="continuous"/>
        </w:sectPr>
      </w:pPr>
    </w:p>
    <w:p>
      <w:pPr>
        <w:ind w:left="260"/>
        <w:spacing w:after="0"/>
        <w:rPr>
          <w:sz w:val="20"/>
          <w:szCs w:val="20"/>
          <w:color w:val="auto"/>
        </w:rPr>
      </w:pPr>
      <w:r>
        <w:rPr>
          <w:rFonts w:ascii="Times New Roman" w:cs="Times New Roman" w:eastAsia="Times New Roman" w:hAnsi="Times New Roman"/>
          <w:sz w:val="28"/>
          <w:szCs w:val="28"/>
          <w:color w:val="auto"/>
        </w:rPr>
        <w:t>компании А (β</w:t>
      </w:r>
      <w:r>
        <w:rPr>
          <w:rFonts w:ascii="Times New Roman" w:cs="Times New Roman" w:eastAsia="Times New Roman" w:hAnsi="Times New Roman"/>
          <w:sz w:val="36"/>
          <w:szCs w:val="36"/>
          <w:color w:val="auto"/>
          <w:vertAlign w:val="subscript"/>
        </w:rPr>
        <w:t>А</w:t>
      </w:r>
      <w:r>
        <w:rPr>
          <w:rFonts w:ascii="Times New Roman" w:cs="Times New Roman" w:eastAsia="Times New Roman" w:hAnsi="Times New Roman"/>
          <w:sz w:val="28"/>
          <w:szCs w:val="28"/>
          <w:color w:val="auto"/>
        </w:rPr>
        <w:t>) - 1,32, у компании В (β</w:t>
      </w:r>
      <w:r>
        <w:rPr>
          <w:rFonts w:ascii="Times New Roman" w:cs="Times New Roman" w:eastAsia="Times New Roman" w:hAnsi="Times New Roman"/>
          <w:sz w:val="36"/>
          <w:szCs w:val="36"/>
          <w:color w:val="auto"/>
          <w:vertAlign w:val="subscript"/>
        </w:rPr>
        <w:t>В</w:t>
      </w:r>
      <w:r>
        <w:rPr>
          <w:rFonts w:ascii="Times New Roman" w:cs="Times New Roman" w:eastAsia="Times New Roman" w:hAnsi="Times New Roman"/>
          <w:sz w:val="28"/>
          <w:szCs w:val="28"/>
          <w:color w:val="auto"/>
        </w:rPr>
        <w:t>) - 1,47, у компании С (β</w:t>
      </w:r>
      <w:r>
        <w:rPr>
          <w:rFonts w:ascii="Times New Roman" w:cs="Times New Roman" w:eastAsia="Times New Roman" w:hAnsi="Times New Roman"/>
          <w:sz w:val="36"/>
          <w:szCs w:val="36"/>
          <w:color w:val="auto"/>
          <w:vertAlign w:val="subscript"/>
        </w:rPr>
        <w:t>С</w:t>
      </w:r>
      <w:r>
        <w:rPr>
          <w:rFonts w:ascii="Times New Roman" w:cs="Times New Roman" w:eastAsia="Times New Roman" w:hAnsi="Times New Roman"/>
          <w:sz w:val="28"/>
          <w:szCs w:val="28"/>
          <w:color w:val="auto"/>
        </w:rPr>
        <w:t>) - 1,51.</w:t>
      </w:r>
    </w:p>
    <w:p>
      <w:pPr>
        <w:spacing w:after="0" w:line="38"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Рыночные капитализации этих компаний равны соответственно 1,241 млн.</w:t>
      </w:r>
    </w:p>
    <w:p>
      <w:pPr>
        <w:ind w:left="260"/>
        <w:spacing w:after="0" w:line="186" w:lineRule="auto"/>
        <w:rPr>
          <w:sz w:val="20"/>
          <w:szCs w:val="20"/>
          <w:color w:val="auto"/>
        </w:rPr>
      </w:pPr>
      <w:r>
        <w:rPr>
          <w:rFonts w:ascii="Times New Roman" w:cs="Times New Roman" w:eastAsia="Times New Roman" w:hAnsi="Times New Roman"/>
          <w:sz w:val="28"/>
          <w:szCs w:val="28"/>
          <w:color w:val="auto"/>
        </w:rPr>
        <w:t>руб. (Ц</w:t>
      </w:r>
      <w:r>
        <w:rPr>
          <w:rFonts w:ascii="Times New Roman" w:cs="Times New Roman" w:eastAsia="Times New Roman" w:hAnsi="Times New Roman"/>
          <w:sz w:val="36"/>
          <w:szCs w:val="36"/>
          <w:color w:val="auto"/>
          <w:vertAlign w:val="subscript"/>
        </w:rPr>
        <w:t>А</w:t>
      </w:r>
      <w:r>
        <w:rPr>
          <w:rFonts w:ascii="Times New Roman" w:cs="Times New Roman" w:eastAsia="Times New Roman" w:hAnsi="Times New Roman"/>
          <w:sz w:val="28"/>
          <w:szCs w:val="28"/>
          <w:color w:val="auto"/>
        </w:rPr>
        <w:t>), 3,544 млн. руб. (Ц</w:t>
      </w:r>
      <w:r>
        <w:rPr>
          <w:rFonts w:ascii="Times New Roman" w:cs="Times New Roman" w:eastAsia="Times New Roman" w:hAnsi="Times New Roman"/>
          <w:sz w:val="36"/>
          <w:szCs w:val="36"/>
          <w:color w:val="auto"/>
          <w:vertAlign w:val="subscript"/>
        </w:rPr>
        <w:t>В</w:t>
      </w:r>
      <w:r>
        <w:rPr>
          <w:rFonts w:ascii="Times New Roman" w:cs="Times New Roman" w:eastAsia="Times New Roman" w:hAnsi="Times New Roman"/>
          <w:sz w:val="28"/>
          <w:szCs w:val="28"/>
          <w:color w:val="auto"/>
        </w:rPr>
        <w:t>) и 3,702 млн. руб. (Ц</w:t>
      </w:r>
      <w:r>
        <w:rPr>
          <w:rFonts w:ascii="Times New Roman" w:cs="Times New Roman" w:eastAsia="Times New Roman" w:hAnsi="Times New Roman"/>
          <w:sz w:val="36"/>
          <w:szCs w:val="36"/>
          <w:color w:val="auto"/>
          <w:vertAlign w:val="subscript"/>
        </w:rPr>
        <w:t>С</w:t>
      </w:r>
      <w:r>
        <w:rPr>
          <w:rFonts w:ascii="Times New Roman" w:cs="Times New Roman" w:eastAsia="Times New Roman" w:hAnsi="Times New Roman"/>
          <w:sz w:val="28"/>
          <w:szCs w:val="28"/>
          <w:color w:val="auto"/>
        </w:rPr>
        <w:t>).</w:t>
      </w:r>
    </w:p>
    <w:p>
      <w:pPr>
        <w:spacing w:after="0" w:line="2" w:lineRule="exact"/>
        <w:rPr>
          <w:sz w:val="20"/>
          <w:szCs w:val="20"/>
          <w:color w:val="auto"/>
        </w:rPr>
      </w:pPr>
    </w:p>
    <w:p>
      <w:pPr>
        <w:jc w:val="both"/>
        <w:ind w:left="280" w:right="20" w:firstLine="716"/>
        <w:spacing w:after="0" w:line="205" w:lineRule="auto"/>
        <w:rPr>
          <w:sz w:val="20"/>
          <w:szCs w:val="20"/>
          <w:color w:val="auto"/>
        </w:rPr>
      </w:pPr>
      <w:r>
        <w:rPr>
          <w:rFonts w:ascii="Times New Roman" w:cs="Times New Roman" w:eastAsia="Times New Roman" w:hAnsi="Times New Roman"/>
          <w:sz w:val="28"/>
          <w:szCs w:val="28"/>
          <w:color w:val="auto"/>
        </w:rPr>
        <w:t>Среднерыночная доходность на момент оценки равна 25%. В дальнейшем она ожидается на уровне 0,23 для первого года (R</w:t>
      </w:r>
      <w:r>
        <w:rPr>
          <w:rFonts w:ascii="Times New Roman" w:cs="Times New Roman" w:eastAsia="Times New Roman" w:hAnsi="Times New Roman"/>
          <w:sz w:val="36"/>
          <w:szCs w:val="36"/>
          <w:color w:val="auto"/>
          <w:vertAlign w:val="subscript"/>
        </w:rPr>
        <w:t>m1</w:t>
      </w:r>
      <w:r>
        <w:rPr>
          <w:rFonts w:ascii="Times New Roman" w:cs="Times New Roman" w:eastAsia="Times New Roman" w:hAnsi="Times New Roman"/>
          <w:sz w:val="28"/>
          <w:szCs w:val="28"/>
          <w:color w:val="auto"/>
        </w:rPr>
        <w:t>), 0,18 - для второго года (R</w:t>
      </w:r>
      <w:r>
        <w:rPr>
          <w:rFonts w:ascii="Times New Roman" w:cs="Times New Roman" w:eastAsia="Times New Roman" w:hAnsi="Times New Roman"/>
          <w:sz w:val="36"/>
          <w:szCs w:val="36"/>
          <w:color w:val="auto"/>
          <w:vertAlign w:val="subscript"/>
        </w:rPr>
        <w:t>m2</w:t>
      </w:r>
      <w:r>
        <w:rPr>
          <w:rFonts w:ascii="Times New Roman" w:cs="Times New Roman" w:eastAsia="Times New Roman" w:hAnsi="Times New Roman"/>
          <w:sz w:val="28"/>
          <w:szCs w:val="28"/>
          <w:color w:val="auto"/>
        </w:rPr>
        <w:t>), 0,15 - для третьего года (R</w:t>
      </w:r>
      <w:r>
        <w:rPr>
          <w:rFonts w:ascii="Times New Roman" w:cs="Times New Roman" w:eastAsia="Times New Roman" w:hAnsi="Times New Roman"/>
          <w:sz w:val="36"/>
          <w:szCs w:val="36"/>
          <w:color w:val="auto"/>
          <w:vertAlign w:val="subscript"/>
        </w:rPr>
        <w:t>m3</w:t>
      </w:r>
      <w:r>
        <w:rPr>
          <w:rFonts w:ascii="Times New Roman" w:cs="Times New Roman" w:eastAsia="Times New Roman" w:hAnsi="Times New Roman"/>
          <w:sz w:val="28"/>
          <w:szCs w:val="28"/>
          <w:color w:val="auto"/>
        </w:rPr>
        <w:t>) и также 0,15 - для последующих лет (R</w:t>
      </w:r>
      <w:r>
        <w:rPr>
          <w:rFonts w:ascii="Times New Roman" w:cs="Times New Roman" w:eastAsia="Times New Roman" w:hAnsi="Times New Roman"/>
          <w:sz w:val="36"/>
          <w:szCs w:val="36"/>
          <w:color w:val="auto"/>
          <w:vertAlign w:val="subscript"/>
        </w:rPr>
        <w:t>m</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36"/>
          <w:szCs w:val="36"/>
          <w:color w:val="auto"/>
          <w:vertAlign w:val="subscript"/>
        </w:rPr>
        <w:t>построгн</w:t>
      </w:r>
      <w:r>
        <w:rPr>
          <w:rFonts w:ascii="Times New Roman" w:cs="Times New Roman" w:eastAsia="Times New Roman" w:hAnsi="Times New Roman"/>
          <w:sz w:val="28"/>
          <w:szCs w:val="28"/>
          <w:color w:val="auto"/>
        </w:rPr>
        <w:t>).</w:t>
      </w:r>
    </w:p>
    <w:p>
      <w:pPr>
        <w:spacing w:after="0" w:line="273" w:lineRule="exact"/>
        <w:rPr>
          <w:sz w:val="20"/>
          <w:szCs w:val="20"/>
          <w:color w:val="auto"/>
        </w:rPr>
      </w:pPr>
    </w:p>
    <w:p>
      <w:pPr>
        <w:ind w:left="980"/>
        <w:spacing w:after="0"/>
        <w:rPr>
          <w:sz w:val="20"/>
          <w:szCs w:val="20"/>
          <w:color w:val="auto"/>
        </w:rPr>
      </w:pPr>
      <w:r>
        <w:rPr>
          <w:rFonts w:ascii="Times New Roman" w:cs="Times New Roman" w:eastAsia="Times New Roman" w:hAnsi="Times New Roman"/>
          <w:sz w:val="28"/>
          <w:szCs w:val="28"/>
          <w:u w:val="single" w:color="auto"/>
          <w:color w:val="auto"/>
        </w:rPr>
        <w:t>Решение.</w:t>
      </w:r>
    </w:p>
    <w:p>
      <w:pPr>
        <w:spacing w:after="0" w:line="1" w:lineRule="exact"/>
        <w:rPr>
          <w:sz w:val="20"/>
          <w:szCs w:val="20"/>
          <w:color w:val="auto"/>
        </w:rPr>
      </w:pPr>
    </w:p>
    <w:p>
      <w:pPr>
        <w:jc w:val="both"/>
        <w:ind w:left="260" w:firstLine="724"/>
        <w:spacing w:after="0" w:line="250" w:lineRule="auto"/>
        <w:tabs>
          <w:tab w:leader="none" w:pos="1358" w:val="left"/>
        </w:tabs>
        <w:numPr>
          <w:ilvl w:val="0"/>
          <w:numId w:val="3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Для прогнозного периода устанавливаем величины безрисковых норм дохода (переменных безрисковых ставок) по годам этого периода, опираясь на предположение о нормальном характере распределения вероятностей всех сценариев изменения инфляции:</w:t>
      </w:r>
    </w:p>
    <w:p>
      <w:pPr>
        <w:spacing w:after="0" w:line="137" w:lineRule="exact"/>
        <w:rPr>
          <w:sz w:val="20"/>
          <w:szCs w:val="20"/>
          <w:color w:val="auto"/>
        </w:rPr>
      </w:pPr>
    </w:p>
    <w:p>
      <w:pPr>
        <w:ind w:left="4200"/>
        <w:spacing w:after="0"/>
        <w:rPr>
          <w:sz w:val="20"/>
          <w:szCs w:val="20"/>
          <w:color w:val="auto"/>
        </w:rPr>
      </w:pPr>
      <w:r>
        <w:rPr>
          <w:rFonts w:ascii="Times New Roman" w:cs="Times New Roman" w:eastAsia="Times New Roman" w:hAnsi="Times New Roman"/>
          <w:sz w:val="28"/>
          <w:szCs w:val="28"/>
          <w:color w:val="auto"/>
        </w:rPr>
        <w:t>R</w:t>
      </w:r>
      <w:r>
        <w:rPr>
          <w:rFonts w:ascii="Times New Roman" w:cs="Times New Roman" w:eastAsia="Times New Roman" w:hAnsi="Times New Roman"/>
          <w:sz w:val="36"/>
          <w:szCs w:val="36"/>
          <w:color w:val="auto"/>
          <w:vertAlign w:val="subscript"/>
        </w:rPr>
        <w:t>e</w:t>
      </w:r>
      <w:r>
        <w:rPr>
          <w:rFonts w:ascii="Times New Roman" w:cs="Times New Roman" w:eastAsia="Times New Roman" w:hAnsi="Times New Roman"/>
          <w:sz w:val="28"/>
          <w:szCs w:val="28"/>
          <w:color w:val="auto"/>
        </w:rPr>
        <w:t xml:space="preserve"> = r</w:t>
      </w:r>
      <w:r>
        <w:rPr>
          <w:rFonts w:ascii="Times New Roman" w:cs="Times New Roman" w:eastAsia="Times New Roman" w:hAnsi="Times New Roman"/>
          <w:sz w:val="36"/>
          <w:szCs w:val="36"/>
          <w:color w:val="auto"/>
          <w:vertAlign w:val="subscript"/>
        </w:rPr>
        <w:t>e</w:t>
      </w:r>
      <w:r>
        <w:rPr>
          <w:rFonts w:ascii="Times New Roman" w:cs="Times New Roman" w:eastAsia="Times New Roman" w:hAnsi="Times New Roman"/>
          <w:sz w:val="28"/>
          <w:szCs w:val="28"/>
          <w:color w:val="auto"/>
        </w:rPr>
        <w:t xml:space="preserve"> +S</w:t>
      </w:r>
      <w:r>
        <w:rPr>
          <w:rFonts w:ascii="Times New Roman" w:cs="Times New Roman" w:eastAsia="Times New Roman" w:hAnsi="Times New Roman"/>
          <w:sz w:val="36"/>
          <w:szCs w:val="36"/>
          <w:color w:val="auto"/>
          <w:vertAlign w:val="subscript"/>
        </w:rPr>
        <w:t>e</w:t>
      </w:r>
      <w:r>
        <w:rPr>
          <w:rFonts w:ascii="Times New Roman" w:cs="Times New Roman" w:eastAsia="Times New Roman" w:hAnsi="Times New Roman"/>
          <w:sz w:val="28"/>
          <w:szCs w:val="28"/>
          <w:color w:val="auto"/>
        </w:rPr>
        <w:t xml:space="preserve"> + r</w:t>
      </w:r>
      <w:r>
        <w:rPr>
          <w:rFonts w:ascii="Times New Roman" w:cs="Times New Roman" w:eastAsia="Times New Roman" w:hAnsi="Times New Roman"/>
          <w:sz w:val="36"/>
          <w:szCs w:val="36"/>
          <w:color w:val="auto"/>
          <w:vertAlign w:val="subscript"/>
        </w:rPr>
        <w:t>e</w:t>
      </w:r>
      <w:r>
        <w:rPr>
          <w:rFonts w:ascii="Times New Roman" w:cs="Times New Roman" w:eastAsia="Times New Roman" w:hAnsi="Times New Roman"/>
          <w:sz w:val="28"/>
          <w:szCs w:val="28"/>
          <w:color w:val="auto"/>
        </w:rPr>
        <w:t xml:space="preserve"> · S</w:t>
      </w:r>
      <w:r>
        <w:rPr>
          <w:rFonts w:ascii="Times New Roman" w:cs="Times New Roman" w:eastAsia="Times New Roman" w:hAnsi="Times New Roman"/>
          <w:sz w:val="36"/>
          <w:szCs w:val="36"/>
          <w:color w:val="auto"/>
          <w:vertAlign w:val="subscript"/>
        </w:rPr>
        <w:t>e</w:t>
      </w:r>
      <w:r>
        <w:rPr>
          <w:rFonts w:ascii="Times New Roman" w:cs="Times New Roman" w:eastAsia="Times New Roman" w:hAnsi="Times New Roman"/>
          <w:sz w:val="28"/>
          <w:szCs w:val="28"/>
          <w:color w:val="auto"/>
        </w:rPr>
        <w:t>,</w:t>
      </w:r>
    </w:p>
    <w:p>
      <w:pPr>
        <w:spacing w:after="0" w:line="230"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где S</w:t>
      </w:r>
      <w:r>
        <w:rPr>
          <w:rFonts w:ascii="Times New Roman" w:cs="Times New Roman" w:eastAsia="Times New Roman" w:hAnsi="Times New Roman"/>
          <w:sz w:val="36"/>
          <w:szCs w:val="36"/>
          <w:color w:val="auto"/>
          <w:vertAlign w:val="subscript"/>
        </w:rPr>
        <w:t>e</w:t>
      </w:r>
      <w:r>
        <w:rPr>
          <w:rFonts w:ascii="Times New Roman" w:cs="Times New Roman" w:eastAsia="Times New Roman" w:hAnsi="Times New Roman"/>
          <w:sz w:val="28"/>
          <w:szCs w:val="28"/>
          <w:color w:val="auto"/>
        </w:rPr>
        <w:t xml:space="preserve"> = (S</w:t>
      </w:r>
      <w:r>
        <w:rPr>
          <w:rFonts w:ascii="Times New Roman" w:cs="Times New Roman" w:eastAsia="Times New Roman" w:hAnsi="Times New Roman"/>
          <w:sz w:val="36"/>
          <w:szCs w:val="36"/>
          <w:color w:val="auto"/>
          <w:vertAlign w:val="subscript"/>
        </w:rPr>
        <w:t>e</w:t>
      </w:r>
      <w:r>
        <w:rPr>
          <w:rFonts w:ascii="Times New Roman" w:cs="Times New Roman" w:eastAsia="Times New Roman" w:hAnsi="Times New Roman"/>
          <w:sz w:val="36"/>
          <w:szCs w:val="36"/>
          <w:color w:val="auto"/>
          <w:vertAlign w:val="superscript"/>
        </w:rPr>
        <w:t>пеc</w:t>
      </w:r>
      <w:r>
        <w:rPr>
          <w:rFonts w:ascii="Times New Roman" w:cs="Times New Roman" w:eastAsia="Times New Roman" w:hAnsi="Times New Roman"/>
          <w:sz w:val="28"/>
          <w:szCs w:val="28"/>
          <w:color w:val="auto"/>
        </w:rPr>
        <w:t xml:space="preserve"> + 4S</w:t>
      </w:r>
      <w:r>
        <w:rPr>
          <w:rFonts w:ascii="Times New Roman" w:cs="Times New Roman" w:eastAsia="Times New Roman" w:hAnsi="Times New Roman"/>
          <w:sz w:val="36"/>
          <w:szCs w:val="36"/>
          <w:color w:val="auto"/>
          <w:vertAlign w:val="subscript"/>
        </w:rPr>
        <w:t>e</w:t>
      </w:r>
      <w:r>
        <w:rPr>
          <w:rFonts w:ascii="Times New Roman" w:cs="Times New Roman" w:eastAsia="Times New Roman" w:hAnsi="Times New Roman"/>
          <w:sz w:val="36"/>
          <w:szCs w:val="36"/>
          <w:color w:val="auto"/>
          <w:vertAlign w:val="superscript"/>
        </w:rPr>
        <w:t>н.в.</w:t>
      </w:r>
      <w:r>
        <w:rPr>
          <w:rFonts w:ascii="Times New Roman" w:cs="Times New Roman" w:eastAsia="Times New Roman" w:hAnsi="Times New Roman"/>
          <w:sz w:val="28"/>
          <w:szCs w:val="28"/>
          <w:color w:val="auto"/>
        </w:rPr>
        <w:t xml:space="preserve"> + S</w:t>
      </w:r>
      <w:r>
        <w:rPr>
          <w:rFonts w:ascii="Times New Roman" w:cs="Times New Roman" w:eastAsia="Times New Roman" w:hAnsi="Times New Roman"/>
          <w:sz w:val="36"/>
          <w:szCs w:val="36"/>
          <w:color w:val="auto"/>
          <w:vertAlign w:val="subscript"/>
        </w:rPr>
        <w:t>e</w:t>
      </w:r>
      <w:r>
        <w:rPr>
          <w:rFonts w:ascii="Times New Roman" w:cs="Times New Roman" w:eastAsia="Times New Roman" w:hAnsi="Times New Roman"/>
          <w:sz w:val="36"/>
          <w:szCs w:val="36"/>
          <w:color w:val="auto"/>
          <w:vertAlign w:val="superscript"/>
        </w:rPr>
        <w:t>oпт</w:t>
      </w:r>
      <w:r>
        <w:rPr>
          <w:rFonts w:ascii="Times New Roman" w:cs="Times New Roman" w:eastAsia="Times New Roman" w:hAnsi="Times New Roman"/>
          <w:sz w:val="28"/>
          <w:szCs w:val="28"/>
          <w:color w:val="auto"/>
        </w:rPr>
        <w:t>) : 6.</w:t>
      </w:r>
    </w:p>
    <w:p>
      <w:pPr>
        <w:spacing w:after="0" w:line="361" w:lineRule="exact"/>
        <w:rPr>
          <w:sz w:val="20"/>
          <w:szCs w:val="20"/>
          <w:color w:val="auto"/>
        </w:rPr>
      </w:pPr>
    </w:p>
    <w:p>
      <w:pPr>
        <w:ind w:left="980"/>
        <w:spacing w:after="0"/>
        <w:rPr>
          <w:sz w:val="20"/>
          <w:szCs w:val="20"/>
          <w:color w:val="auto"/>
        </w:rPr>
      </w:pPr>
      <w:r>
        <w:rPr>
          <w:rFonts w:ascii="Times New Roman" w:cs="Times New Roman" w:eastAsia="Times New Roman" w:hAnsi="Times New Roman"/>
          <w:sz w:val="28"/>
          <w:szCs w:val="28"/>
          <w:color w:val="auto"/>
        </w:rPr>
        <w:t>То есть:</w:t>
      </w:r>
    </w:p>
    <w:p>
      <w:pPr>
        <w:spacing w:after="0" w:line="190" w:lineRule="exact"/>
        <w:rPr>
          <w:sz w:val="20"/>
          <w:szCs w:val="20"/>
          <w:color w:val="auto"/>
        </w:rPr>
      </w:pPr>
    </w:p>
    <w:p>
      <w:pPr>
        <w:ind w:left="2720"/>
        <w:spacing w:after="0"/>
        <w:rPr>
          <w:sz w:val="20"/>
          <w:szCs w:val="20"/>
          <w:color w:val="auto"/>
        </w:rPr>
      </w:pPr>
      <w:r>
        <w:rPr>
          <w:rFonts w:ascii="Times New Roman" w:cs="Times New Roman" w:eastAsia="Times New Roman" w:hAnsi="Times New Roman"/>
          <w:sz w:val="28"/>
          <w:szCs w:val="28"/>
          <w:color w:val="auto"/>
        </w:rPr>
        <w:t>S</w:t>
      </w:r>
      <w:r>
        <w:rPr>
          <w:rFonts w:ascii="Times New Roman" w:cs="Times New Roman" w:eastAsia="Times New Roman" w:hAnsi="Times New Roman"/>
          <w:sz w:val="36"/>
          <w:szCs w:val="36"/>
          <w:color w:val="auto"/>
          <w:vertAlign w:val="subscript"/>
        </w:rPr>
        <w:t>1</w:t>
      </w:r>
      <w:r>
        <w:rPr>
          <w:rFonts w:ascii="Times New Roman" w:cs="Times New Roman" w:eastAsia="Times New Roman" w:hAnsi="Times New Roman"/>
          <w:sz w:val="28"/>
          <w:szCs w:val="28"/>
          <w:color w:val="auto"/>
        </w:rPr>
        <w:t xml:space="preserve"> = (0,14 + 4 · 0,12 + 0,11) : 6 = 0,122</w:t>
      </w:r>
    </w:p>
    <w:p>
      <w:pPr>
        <w:ind w:left="2720"/>
        <w:spacing w:after="0" w:line="209" w:lineRule="auto"/>
        <w:rPr>
          <w:sz w:val="20"/>
          <w:szCs w:val="20"/>
          <w:color w:val="auto"/>
        </w:rPr>
      </w:pPr>
      <w:r>
        <w:rPr>
          <w:rFonts w:ascii="Times New Roman" w:cs="Times New Roman" w:eastAsia="Times New Roman" w:hAnsi="Times New Roman"/>
          <w:sz w:val="28"/>
          <w:szCs w:val="28"/>
          <w:color w:val="auto"/>
        </w:rPr>
        <w:t>S</w:t>
      </w:r>
      <w:r>
        <w:rPr>
          <w:rFonts w:ascii="Times New Roman" w:cs="Times New Roman" w:eastAsia="Times New Roman" w:hAnsi="Times New Roman"/>
          <w:sz w:val="36"/>
          <w:szCs w:val="36"/>
          <w:color w:val="auto"/>
          <w:vertAlign w:val="subscript"/>
        </w:rPr>
        <w:t>2</w:t>
      </w:r>
      <w:r>
        <w:rPr>
          <w:rFonts w:ascii="Times New Roman" w:cs="Times New Roman" w:eastAsia="Times New Roman" w:hAnsi="Times New Roman"/>
          <w:sz w:val="28"/>
          <w:szCs w:val="28"/>
          <w:color w:val="auto"/>
        </w:rPr>
        <w:t xml:space="preserve"> = (0,13 + 4 · 0,10 + 0,09) : 6 = 0,103</w:t>
      </w:r>
    </w:p>
    <w:p>
      <w:pPr>
        <w:ind w:left="2700"/>
        <w:spacing w:after="0" w:line="216" w:lineRule="auto"/>
        <w:rPr>
          <w:sz w:val="20"/>
          <w:szCs w:val="20"/>
          <w:color w:val="auto"/>
        </w:rPr>
      </w:pPr>
      <w:r>
        <w:rPr>
          <w:rFonts w:ascii="Times New Roman" w:cs="Times New Roman" w:eastAsia="Times New Roman" w:hAnsi="Times New Roman"/>
          <w:sz w:val="28"/>
          <w:szCs w:val="28"/>
          <w:color w:val="auto"/>
        </w:rPr>
        <w:t>S</w:t>
      </w:r>
      <w:r>
        <w:rPr>
          <w:rFonts w:ascii="Times New Roman" w:cs="Times New Roman" w:eastAsia="Times New Roman" w:hAnsi="Times New Roman"/>
          <w:sz w:val="36"/>
          <w:szCs w:val="36"/>
          <w:color w:val="auto"/>
          <w:vertAlign w:val="subscript"/>
        </w:rPr>
        <w:t>3</w:t>
      </w:r>
      <w:r>
        <w:rPr>
          <w:rFonts w:ascii="Times New Roman" w:cs="Times New Roman" w:eastAsia="Times New Roman" w:hAnsi="Times New Roman"/>
          <w:sz w:val="28"/>
          <w:szCs w:val="28"/>
          <w:color w:val="auto"/>
        </w:rPr>
        <w:t xml:space="preserve"> = (0,12 + 4 · 0,08 + 0,07) : 6 = 0,085.</w:t>
      </w:r>
    </w:p>
    <w:p>
      <w:pPr>
        <w:spacing w:after="0" w:line="271" w:lineRule="exact"/>
        <w:rPr>
          <w:sz w:val="20"/>
          <w:szCs w:val="20"/>
          <w:color w:val="auto"/>
        </w:rPr>
      </w:pPr>
    </w:p>
    <w:p>
      <w:pPr>
        <w:ind w:left="980"/>
        <w:spacing w:after="0"/>
        <w:rPr>
          <w:sz w:val="20"/>
          <w:szCs w:val="20"/>
          <w:color w:val="auto"/>
        </w:rPr>
      </w:pPr>
      <w:r>
        <w:rPr>
          <w:rFonts w:ascii="Times New Roman" w:cs="Times New Roman" w:eastAsia="Times New Roman" w:hAnsi="Times New Roman"/>
          <w:sz w:val="28"/>
          <w:szCs w:val="28"/>
          <w:color w:val="auto"/>
        </w:rPr>
        <w:t>Соответственно:</w:t>
      </w:r>
    </w:p>
    <w:p>
      <w:pPr>
        <w:spacing w:after="0" w:line="192" w:lineRule="exact"/>
        <w:rPr>
          <w:sz w:val="20"/>
          <w:szCs w:val="20"/>
          <w:color w:val="auto"/>
        </w:rPr>
      </w:pPr>
    </w:p>
    <w:p>
      <w:pPr>
        <w:ind w:left="2520"/>
        <w:spacing w:after="0"/>
        <w:rPr>
          <w:sz w:val="20"/>
          <w:szCs w:val="20"/>
          <w:color w:val="auto"/>
        </w:rPr>
      </w:pPr>
      <w:r>
        <w:rPr>
          <w:rFonts w:ascii="Times New Roman" w:cs="Times New Roman" w:eastAsia="Times New Roman" w:hAnsi="Times New Roman"/>
          <w:sz w:val="28"/>
          <w:szCs w:val="28"/>
          <w:color w:val="auto"/>
        </w:rPr>
        <w:t>R</w:t>
      </w:r>
      <w:r>
        <w:rPr>
          <w:rFonts w:ascii="Times New Roman" w:cs="Times New Roman" w:eastAsia="Times New Roman" w:hAnsi="Times New Roman"/>
          <w:sz w:val="36"/>
          <w:szCs w:val="36"/>
          <w:color w:val="auto"/>
          <w:vertAlign w:val="subscript"/>
        </w:rPr>
        <w:t>1</w:t>
      </w:r>
      <w:r>
        <w:rPr>
          <w:rFonts w:ascii="Times New Roman" w:cs="Times New Roman" w:eastAsia="Times New Roman" w:hAnsi="Times New Roman"/>
          <w:sz w:val="28"/>
          <w:szCs w:val="28"/>
          <w:color w:val="auto"/>
        </w:rPr>
        <w:t xml:space="preserve"> = 0,015 + 0,122 + 0,015 · 0,122 = 0,155</w:t>
      </w:r>
    </w:p>
    <w:p>
      <w:pPr>
        <w:ind w:left="2520"/>
        <w:spacing w:after="0" w:line="209" w:lineRule="auto"/>
        <w:rPr>
          <w:sz w:val="20"/>
          <w:szCs w:val="20"/>
          <w:color w:val="auto"/>
        </w:rPr>
      </w:pPr>
      <w:r>
        <w:rPr>
          <w:rFonts w:ascii="Times New Roman" w:cs="Times New Roman" w:eastAsia="Times New Roman" w:hAnsi="Times New Roman"/>
          <w:sz w:val="28"/>
          <w:szCs w:val="28"/>
          <w:color w:val="auto"/>
        </w:rPr>
        <w:t>R</w:t>
      </w:r>
      <w:r>
        <w:rPr>
          <w:rFonts w:ascii="Times New Roman" w:cs="Times New Roman" w:eastAsia="Times New Roman" w:hAnsi="Times New Roman"/>
          <w:sz w:val="36"/>
          <w:szCs w:val="36"/>
          <w:color w:val="auto"/>
          <w:vertAlign w:val="subscript"/>
        </w:rPr>
        <w:t>2</w:t>
      </w:r>
      <w:r>
        <w:rPr>
          <w:rFonts w:ascii="Times New Roman" w:cs="Times New Roman" w:eastAsia="Times New Roman" w:hAnsi="Times New Roman"/>
          <w:sz w:val="28"/>
          <w:szCs w:val="28"/>
          <w:color w:val="auto"/>
        </w:rPr>
        <w:t xml:space="preserve"> = 0,015 + 0,103 + 0,015 · 0,103 = 0,120</w:t>
      </w:r>
    </w:p>
    <w:p>
      <w:pPr>
        <w:ind w:left="2500"/>
        <w:spacing w:after="0" w:line="216" w:lineRule="auto"/>
        <w:rPr>
          <w:sz w:val="20"/>
          <w:szCs w:val="20"/>
          <w:color w:val="auto"/>
        </w:rPr>
      </w:pPr>
      <w:r>
        <w:rPr>
          <w:rFonts w:ascii="Times New Roman" w:cs="Times New Roman" w:eastAsia="Times New Roman" w:hAnsi="Times New Roman"/>
          <w:sz w:val="28"/>
          <w:szCs w:val="28"/>
          <w:color w:val="auto"/>
        </w:rPr>
        <w:t>R</w:t>
      </w:r>
      <w:r>
        <w:rPr>
          <w:rFonts w:ascii="Times New Roman" w:cs="Times New Roman" w:eastAsia="Times New Roman" w:hAnsi="Times New Roman"/>
          <w:sz w:val="36"/>
          <w:szCs w:val="36"/>
          <w:color w:val="auto"/>
          <w:vertAlign w:val="subscript"/>
        </w:rPr>
        <w:t>3</w:t>
      </w:r>
      <w:r>
        <w:rPr>
          <w:rFonts w:ascii="Times New Roman" w:cs="Times New Roman" w:eastAsia="Times New Roman" w:hAnsi="Times New Roman"/>
          <w:sz w:val="28"/>
          <w:szCs w:val="28"/>
          <w:color w:val="auto"/>
        </w:rPr>
        <w:t xml:space="preserve"> = 0,015 + 0,085 + 0,015 · 0,085 = 0,101.</w:t>
      </w:r>
    </w:p>
    <w:p>
      <w:pPr>
        <w:spacing w:after="0" w:line="271" w:lineRule="exact"/>
        <w:rPr>
          <w:sz w:val="20"/>
          <w:szCs w:val="20"/>
          <w:color w:val="auto"/>
        </w:rPr>
      </w:pPr>
    </w:p>
    <w:p>
      <w:pPr>
        <w:jc w:val="both"/>
        <w:ind w:left="260" w:firstLine="722"/>
        <w:spacing w:after="0" w:line="245" w:lineRule="auto"/>
        <w:tabs>
          <w:tab w:leader="none" w:pos="1278" w:val="left"/>
        </w:tabs>
        <w:numPr>
          <w:ilvl w:val="0"/>
          <w:numId w:val="3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На их основе и с учетом среднеотраслевого значения коэффициента «бета» (который считается как средневзвешенный по открытым компаниям отрасли, где в качестве весовых коэффициентов используются рыночные капитализации этих компаний), а также прогноза изменения среднерыночной доходности определяем ожидаемые по годам прогнозного периода переменные ставки дисконтирования, компенсирующие риски оцениваемого бизнеса:</w:t>
      </w:r>
    </w:p>
    <w:p>
      <w:pPr>
        <w:spacing w:after="0" w:line="145" w:lineRule="exact"/>
        <w:rPr>
          <w:sz w:val="20"/>
          <w:szCs w:val="20"/>
          <w:color w:val="auto"/>
        </w:rPr>
      </w:pPr>
    </w:p>
    <w:p>
      <w:pPr>
        <w:ind w:left="4120"/>
        <w:spacing w:after="0"/>
        <w:rPr>
          <w:sz w:val="20"/>
          <w:szCs w:val="20"/>
          <w:color w:val="auto"/>
        </w:rPr>
      </w:pPr>
      <w:r>
        <w:rPr>
          <w:rFonts w:ascii="Times New Roman" w:cs="Times New Roman" w:eastAsia="Times New Roman" w:hAnsi="Times New Roman"/>
          <w:sz w:val="28"/>
          <w:szCs w:val="28"/>
          <w:color w:val="auto"/>
        </w:rPr>
        <w:t>i</w:t>
      </w:r>
      <w:r>
        <w:rPr>
          <w:rFonts w:ascii="Times New Roman" w:cs="Times New Roman" w:eastAsia="Times New Roman" w:hAnsi="Times New Roman"/>
          <w:sz w:val="36"/>
          <w:szCs w:val="36"/>
          <w:color w:val="auto"/>
          <w:vertAlign w:val="subscript"/>
        </w:rPr>
        <w:t>e</w:t>
      </w:r>
      <w:r>
        <w:rPr>
          <w:rFonts w:ascii="Times New Roman" w:cs="Times New Roman" w:eastAsia="Times New Roman" w:hAnsi="Times New Roman"/>
          <w:sz w:val="28"/>
          <w:szCs w:val="28"/>
          <w:color w:val="auto"/>
        </w:rPr>
        <w:t xml:space="preserve"> = R</w:t>
      </w:r>
      <w:r>
        <w:rPr>
          <w:rFonts w:ascii="Times New Roman" w:cs="Times New Roman" w:eastAsia="Times New Roman" w:hAnsi="Times New Roman"/>
          <w:sz w:val="36"/>
          <w:szCs w:val="36"/>
          <w:color w:val="auto"/>
          <w:vertAlign w:val="subscript"/>
        </w:rPr>
        <w:t>e</w:t>
      </w:r>
      <w:r>
        <w:rPr>
          <w:rFonts w:ascii="Times New Roman" w:cs="Times New Roman" w:eastAsia="Times New Roman" w:hAnsi="Times New Roman"/>
          <w:sz w:val="28"/>
          <w:szCs w:val="28"/>
          <w:color w:val="auto"/>
        </w:rPr>
        <w:t xml:space="preserve"> + β(R</w:t>
      </w:r>
      <w:r>
        <w:rPr>
          <w:rFonts w:ascii="Times New Roman" w:cs="Times New Roman" w:eastAsia="Times New Roman" w:hAnsi="Times New Roman"/>
          <w:sz w:val="36"/>
          <w:szCs w:val="36"/>
          <w:color w:val="auto"/>
          <w:vertAlign w:val="subscript"/>
        </w:rPr>
        <w:t>me</w:t>
      </w:r>
      <w:r>
        <w:rPr>
          <w:rFonts w:ascii="Times New Roman" w:cs="Times New Roman" w:eastAsia="Times New Roman" w:hAnsi="Times New Roman"/>
          <w:sz w:val="28"/>
          <w:szCs w:val="28"/>
          <w:color w:val="auto"/>
        </w:rPr>
        <w:t xml:space="preserve"> – R</w:t>
      </w:r>
      <w:r>
        <w:rPr>
          <w:rFonts w:ascii="Times New Roman" w:cs="Times New Roman" w:eastAsia="Times New Roman" w:hAnsi="Times New Roman"/>
          <w:sz w:val="36"/>
          <w:szCs w:val="36"/>
          <w:color w:val="auto"/>
          <w:vertAlign w:val="subscript"/>
        </w:rPr>
        <w:t>e</w:t>
      </w:r>
      <w:r>
        <w:rPr>
          <w:rFonts w:ascii="Times New Roman" w:cs="Times New Roman" w:eastAsia="Times New Roman" w:hAnsi="Times New Roman"/>
          <w:sz w:val="28"/>
          <w:szCs w:val="28"/>
          <w:color w:val="auto"/>
        </w:rPr>
        <w:t>),</w:t>
      </w:r>
    </w:p>
    <w:p>
      <w:pPr>
        <w:spacing w:after="0" w:line="229"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где β = (β</w:t>
      </w:r>
      <w:r>
        <w:rPr>
          <w:rFonts w:ascii="Times New Roman" w:cs="Times New Roman" w:eastAsia="Times New Roman" w:hAnsi="Times New Roman"/>
          <w:sz w:val="36"/>
          <w:szCs w:val="36"/>
          <w:color w:val="auto"/>
          <w:vertAlign w:val="subscript"/>
        </w:rPr>
        <w:t>A</w:t>
      </w:r>
      <w:r>
        <w:rPr>
          <w:rFonts w:ascii="Times New Roman" w:cs="Times New Roman" w:eastAsia="Times New Roman" w:hAnsi="Times New Roman"/>
          <w:sz w:val="28"/>
          <w:szCs w:val="28"/>
          <w:color w:val="auto"/>
        </w:rPr>
        <w:t>·Ц</w:t>
      </w:r>
      <w:r>
        <w:rPr>
          <w:rFonts w:ascii="Times New Roman" w:cs="Times New Roman" w:eastAsia="Times New Roman" w:hAnsi="Times New Roman"/>
          <w:sz w:val="36"/>
          <w:szCs w:val="36"/>
          <w:color w:val="auto"/>
          <w:vertAlign w:val="subscript"/>
        </w:rPr>
        <w:t>A</w:t>
      </w:r>
      <w:r>
        <w:rPr>
          <w:rFonts w:ascii="Times New Roman" w:cs="Times New Roman" w:eastAsia="Times New Roman" w:hAnsi="Times New Roman"/>
          <w:sz w:val="28"/>
          <w:szCs w:val="28"/>
          <w:color w:val="auto"/>
        </w:rPr>
        <w:t xml:space="preserve"> + β</w:t>
      </w:r>
      <w:r>
        <w:rPr>
          <w:rFonts w:ascii="Times New Roman" w:cs="Times New Roman" w:eastAsia="Times New Roman" w:hAnsi="Times New Roman"/>
          <w:sz w:val="36"/>
          <w:szCs w:val="36"/>
          <w:color w:val="auto"/>
          <w:vertAlign w:val="subscript"/>
        </w:rPr>
        <w:t>В</w:t>
      </w:r>
      <w:r>
        <w:rPr>
          <w:rFonts w:ascii="Times New Roman" w:cs="Times New Roman" w:eastAsia="Times New Roman" w:hAnsi="Times New Roman"/>
          <w:sz w:val="28"/>
          <w:szCs w:val="28"/>
          <w:color w:val="auto"/>
        </w:rPr>
        <w:t>·Ц</w:t>
      </w:r>
      <w:r>
        <w:rPr>
          <w:rFonts w:ascii="Times New Roman" w:cs="Times New Roman" w:eastAsia="Times New Roman" w:hAnsi="Times New Roman"/>
          <w:sz w:val="36"/>
          <w:szCs w:val="36"/>
          <w:color w:val="auto"/>
          <w:vertAlign w:val="subscript"/>
        </w:rPr>
        <w:t>В</w:t>
      </w:r>
      <w:r>
        <w:rPr>
          <w:rFonts w:ascii="Times New Roman" w:cs="Times New Roman" w:eastAsia="Times New Roman" w:hAnsi="Times New Roman"/>
          <w:sz w:val="28"/>
          <w:szCs w:val="28"/>
          <w:color w:val="auto"/>
        </w:rPr>
        <w:t xml:space="preserve"> + β</w:t>
      </w:r>
      <w:r>
        <w:rPr>
          <w:rFonts w:ascii="Times New Roman" w:cs="Times New Roman" w:eastAsia="Times New Roman" w:hAnsi="Times New Roman"/>
          <w:sz w:val="36"/>
          <w:szCs w:val="36"/>
          <w:color w:val="auto"/>
          <w:vertAlign w:val="subscript"/>
        </w:rPr>
        <w:t>С</w:t>
      </w:r>
      <w:r>
        <w:rPr>
          <w:rFonts w:ascii="Times New Roman" w:cs="Times New Roman" w:eastAsia="Times New Roman" w:hAnsi="Times New Roman"/>
          <w:sz w:val="28"/>
          <w:szCs w:val="28"/>
          <w:color w:val="auto"/>
        </w:rPr>
        <w:t>·Ц</w:t>
      </w:r>
      <w:r>
        <w:rPr>
          <w:rFonts w:ascii="Times New Roman" w:cs="Times New Roman" w:eastAsia="Times New Roman" w:hAnsi="Times New Roman"/>
          <w:sz w:val="36"/>
          <w:szCs w:val="36"/>
          <w:color w:val="auto"/>
          <w:vertAlign w:val="subscript"/>
        </w:rPr>
        <w:t>С</w:t>
      </w:r>
      <w:r>
        <w:rPr>
          <w:rFonts w:ascii="Times New Roman" w:cs="Times New Roman" w:eastAsia="Times New Roman" w:hAnsi="Times New Roman"/>
          <w:sz w:val="28"/>
          <w:szCs w:val="28"/>
          <w:color w:val="auto"/>
        </w:rPr>
        <w:t>) / (Ц</w:t>
      </w:r>
      <w:r>
        <w:rPr>
          <w:rFonts w:ascii="Times New Roman" w:cs="Times New Roman" w:eastAsia="Times New Roman" w:hAnsi="Times New Roman"/>
          <w:sz w:val="36"/>
          <w:szCs w:val="36"/>
          <w:color w:val="auto"/>
          <w:vertAlign w:val="subscript"/>
        </w:rPr>
        <w:t>А</w:t>
      </w:r>
      <w:r>
        <w:rPr>
          <w:rFonts w:ascii="Times New Roman" w:cs="Times New Roman" w:eastAsia="Times New Roman" w:hAnsi="Times New Roman"/>
          <w:sz w:val="28"/>
          <w:szCs w:val="28"/>
          <w:color w:val="auto"/>
        </w:rPr>
        <w:t xml:space="preserve"> + Ц</w:t>
      </w:r>
      <w:r>
        <w:rPr>
          <w:rFonts w:ascii="Times New Roman" w:cs="Times New Roman" w:eastAsia="Times New Roman" w:hAnsi="Times New Roman"/>
          <w:sz w:val="36"/>
          <w:szCs w:val="36"/>
          <w:color w:val="auto"/>
          <w:vertAlign w:val="subscript"/>
        </w:rPr>
        <w:t>В</w:t>
      </w:r>
      <w:r>
        <w:rPr>
          <w:rFonts w:ascii="Times New Roman" w:cs="Times New Roman" w:eastAsia="Times New Roman" w:hAnsi="Times New Roman"/>
          <w:sz w:val="28"/>
          <w:szCs w:val="28"/>
          <w:color w:val="auto"/>
        </w:rPr>
        <w:t xml:space="preserve"> + Ц</w:t>
      </w:r>
      <w:r>
        <w:rPr>
          <w:rFonts w:ascii="Times New Roman" w:cs="Times New Roman" w:eastAsia="Times New Roman" w:hAnsi="Times New Roman"/>
          <w:sz w:val="36"/>
          <w:szCs w:val="36"/>
          <w:color w:val="auto"/>
          <w:vertAlign w:val="subscript"/>
        </w:rPr>
        <w:t>С</w:t>
      </w:r>
      <w:r>
        <w:rPr>
          <w:rFonts w:ascii="Times New Roman" w:cs="Times New Roman" w:eastAsia="Times New Roman" w:hAnsi="Times New Roman"/>
          <w:sz w:val="28"/>
          <w:szCs w:val="28"/>
          <w:color w:val="auto"/>
        </w:rPr>
        <w:t>) = (1,32·1,241+1,47·3,544 +</w:t>
      </w:r>
    </w:p>
    <w:p>
      <w:pPr>
        <w:spacing w:after="0" w:line="40" w:lineRule="exact"/>
        <w:rPr>
          <w:sz w:val="20"/>
          <w:szCs w:val="20"/>
          <w:color w:val="auto"/>
        </w:rPr>
      </w:pPr>
    </w:p>
    <w:p>
      <w:pPr>
        <w:ind w:left="480" w:hanging="218"/>
        <w:spacing w:after="0"/>
        <w:tabs>
          <w:tab w:leader="none" w:pos="480" w:val="left"/>
        </w:tabs>
        <w:numPr>
          <w:ilvl w:val="0"/>
          <w:numId w:val="3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1,51·3,702):(1,241 + 3,544 + 3,702) = 1,466.</w:t>
      </w:r>
    </w:p>
    <w:p>
      <w:pPr>
        <w:spacing w:after="0" w:line="321" w:lineRule="exact"/>
        <w:rPr>
          <w:rFonts w:ascii="Times New Roman" w:cs="Times New Roman" w:eastAsia="Times New Roman" w:hAnsi="Times New Roman"/>
          <w:sz w:val="28"/>
          <w:szCs w:val="28"/>
          <w:color w:val="auto"/>
        </w:rPr>
      </w:pPr>
    </w:p>
    <w:p>
      <w:pPr>
        <w:ind w:left="98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То есть:</w:t>
      </w:r>
    </w:p>
    <w:p>
      <w:pPr>
        <w:sectPr>
          <w:pgSz w:w="11900" w:h="16840" w:orient="portrait"/>
          <w:cols w:equalWidth="0" w:num="1">
            <w:col w:w="9620"/>
          </w:cols>
          <w:pgMar w:left="1440" w:top="981" w:right="844" w:bottom="163" w:gutter="0" w:footer="0" w:header="0"/>
        </w:sectPr>
      </w:pPr>
    </w:p>
    <w:p>
      <w:pPr>
        <w:spacing w:after="0" w:line="200" w:lineRule="exact"/>
        <w:rPr>
          <w:sz w:val="20"/>
          <w:szCs w:val="20"/>
          <w:color w:val="auto"/>
        </w:rPr>
      </w:pPr>
    </w:p>
    <w:p>
      <w:pPr>
        <w:spacing w:after="0" w:line="358" w:lineRule="exact"/>
        <w:rPr>
          <w:sz w:val="20"/>
          <w:szCs w:val="20"/>
          <w:color w:val="auto"/>
        </w:rPr>
      </w:pPr>
    </w:p>
    <w:p>
      <w:pPr>
        <w:ind w:left="9380"/>
        <w:spacing w:after="0"/>
        <w:rPr>
          <w:sz w:val="20"/>
          <w:szCs w:val="20"/>
          <w:color w:val="auto"/>
        </w:rPr>
      </w:pPr>
      <w:r>
        <w:rPr>
          <w:rFonts w:ascii="Times New Roman" w:cs="Times New Roman" w:eastAsia="Times New Roman" w:hAnsi="Times New Roman"/>
          <w:sz w:val="24"/>
          <w:szCs w:val="24"/>
          <w:color w:val="auto"/>
        </w:rPr>
        <w:t>12</w:t>
      </w:r>
    </w:p>
    <w:p>
      <w:pPr>
        <w:sectPr>
          <w:pgSz w:w="11900" w:h="16840" w:orient="portrait"/>
          <w:cols w:equalWidth="0" w:num="1">
            <w:col w:w="9620"/>
          </w:cols>
          <w:pgMar w:left="1440" w:top="981" w:right="844" w:bottom="163" w:gutter="0" w:footer="0" w:header="0"/>
          <w:type w:val="continuous"/>
        </w:sectPr>
      </w:pPr>
    </w:p>
    <w:p>
      <w:pPr>
        <w:ind w:left="2660"/>
        <w:spacing w:after="0"/>
        <w:rPr>
          <w:sz w:val="20"/>
          <w:szCs w:val="20"/>
          <w:color w:val="auto"/>
        </w:rPr>
      </w:pPr>
      <w:r>
        <w:rPr>
          <w:rFonts w:ascii="Times New Roman" w:cs="Times New Roman" w:eastAsia="Times New Roman" w:hAnsi="Times New Roman"/>
          <w:sz w:val="28"/>
          <w:szCs w:val="28"/>
          <w:color w:val="auto"/>
        </w:rPr>
        <w:t>i</w:t>
      </w:r>
      <w:r>
        <w:rPr>
          <w:rFonts w:ascii="Times New Roman" w:cs="Times New Roman" w:eastAsia="Times New Roman" w:hAnsi="Times New Roman"/>
          <w:sz w:val="36"/>
          <w:szCs w:val="36"/>
          <w:color w:val="auto"/>
          <w:vertAlign w:val="subscript"/>
        </w:rPr>
        <w:t>1</w:t>
      </w:r>
      <w:r>
        <w:rPr>
          <w:rFonts w:ascii="Times New Roman" w:cs="Times New Roman" w:eastAsia="Times New Roman" w:hAnsi="Times New Roman"/>
          <w:sz w:val="28"/>
          <w:szCs w:val="28"/>
          <w:color w:val="auto"/>
        </w:rPr>
        <w:t xml:space="preserve"> = 0,155 + 1,466·(0,23 - 0,155) = 0,265</w:t>
      </w:r>
    </w:p>
    <w:p>
      <w:pPr>
        <w:ind w:left="2660"/>
        <w:spacing w:after="0" w:line="209" w:lineRule="auto"/>
        <w:rPr>
          <w:sz w:val="20"/>
          <w:szCs w:val="20"/>
          <w:color w:val="auto"/>
        </w:rPr>
      </w:pPr>
      <w:r>
        <w:rPr>
          <w:rFonts w:ascii="Times New Roman" w:cs="Times New Roman" w:eastAsia="Times New Roman" w:hAnsi="Times New Roman"/>
          <w:sz w:val="28"/>
          <w:szCs w:val="28"/>
          <w:color w:val="auto"/>
        </w:rPr>
        <w:t>i</w:t>
      </w:r>
      <w:r>
        <w:rPr>
          <w:rFonts w:ascii="Times New Roman" w:cs="Times New Roman" w:eastAsia="Times New Roman" w:hAnsi="Times New Roman"/>
          <w:sz w:val="36"/>
          <w:szCs w:val="36"/>
          <w:color w:val="auto"/>
          <w:vertAlign w:val="subscript"/>
        </w:rPr>
        <w:t>2</w:t>
      </w:r>
      <w:r>
        <w:rPr>
          <w:rFonts w:ascii="Times New Roman" w:cs="Times New Roman" w:eastAsia="Times New Roman" w:hAnsi="Times New Roman"/>
          <w:sz w:val="28"/>
          <w:szCs w:val="28"/>
          <w:color w:val="auto"/>
        </w:rPr>
        <w:t xml:space="preserve"> = 0,120 + 1,466·(0,18 - 0,120) = 0,208</w:t>
      </w:r>
    </w:p>
    <w:p>
      <w:pPr>
        <w:ind w:left="2620"/>
        <w:spacing w:after="0" w:line="216" w:lineRule="auto"/>
        <w:rPr>
          <w:sz w:val="20"/>
          <w:szCs w:val="20"/>
          <w:color w:val="auto"/>
        </w:rPr>
      </w:pPr>
      <w:r>
        <w:rPr>
          <w:rFonts w:ascii="Times New Roman" w:cs="Times New Roman" w:eastAsia="Times New Roman" w:hAnsi="Times New Roman"/>
          <w:sz w:val="28"/>
          <w:szCs w:val="28"/>
          <w:color w:val="auto"/>
        </w:rPr>
        <w:t>i</w:t>
      </w:r>
      <w:r>
        <w:rPr>
          <w:rFonts w:ascii="Times New Roman" w:cs="Times New Roman" w:eastAsia="Times New Roman" w:hAnsi="Times New Roman"/>
          <w:sz w:val="36"/>
          <w:szCs w:val="36"/>
          <w:color w:val="auto"/>
          <w:vertAlign w:val="subscript"/>
        </w:rPr>
        <w:t>3</w:t>
      </w:r>
      <w:r>
        <w:rPr>
          <w:rFonts w:ascii="Times New Roman" w:cs="Times New Roman" w:eastAsia="Times New Roman" w:hAnsi="Times New Roman"/>
          <w:sz w:val="28"/>
          <w:szCs w:val="28"/>
          <w:color w:val="auto"/>
        </w:rPr>
        <w:t xml:space="preserve"> = 0,101 + 1,466·(0,15 - 0,101) = 0,173.</w:t>
      </w:r>
    </w:p>
    <w:p>
      <w:pPr>
        <w:spacing w:after="0" w:line="271" w:lineRule="exact"/>
        <w:rPr>
          <w:sz w:val="20"/>
          <w:szCs w:val="20"/>
          <w:color w:val="auto"/>
        </w:rPr>
      </w:pPr>
    </w:p>
    <w:p>
      <w:pPr>
        <w:jc w:val="both"/>
        <w:ind w:left="260" w:firstLine="718"/>
        <w:spacing w:after="0" w:line="250" w:lineRule="auto"/>
        <w:tabs>
          <w:tab w:leader="none" w:pos="1285" w:val="left"/>
        </w:tabs>
        <w:numPr>
          <w:ilvl w:val="0"/>
          <w:numId w:val="3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 применением полученных переменных ставок дисконтирования и данных по ожидаемым в прогнозном периоде достаточно точно спланированным денежным потокам рассчитываем остаточную текущую стоимость бизнеса в прогнозном периоде:</w:t>
      </w:r>
    </w:p>
    <w:p>
      <w:pPr>
        <w:spacing w:after="0" w:line="138" w:lineRule="exact"/>
        <w:rPr>
          <w:sz w:val="20"/>
          <w:szCs w:val="20"/>
          <w:color w:val="auto"/>
        </w:rPr>
      </w:pPr>
    </w:p>
    <w:p>
      <w:pPr>
        <w:ind w:left="1540"/>
        <w:spacing w:after="0"/>
        <w:rPr>
          <w:sz w:val="20"/>
          <w:szCs w:val="20"/>
          <w:color w:val="auto"/>
        </w:rPr>
      </w:pPr>
      <w:r>
        <w:rPr>
          <w:rFonts w:ascii="Times New Roman" w:cs="Times New Roman" w:eastAsia="Times New Roman" w:hAnsi="Times New Roman"/>
          <w:sz w:val="28"/>
          <w:szCs w:val="28"/>
          <w:color w:val="auto"/>
        </w:rPr>
        <w:t>PV</w:t>
      </w:r>
      <w:r>
        <w:rPr>
          <w:rFonts w:ascii="Times New Roman" w:cs="Times New Roman" w:eastAsia="Times New Roman" w:hAnsi="Times New Roman"/>
          <w:sz w:val="36"/>
          <w:szCs w:val="36"/>
          <w:color w:val="auto"/>
          <w:vertAlign w:val="subscript"/>
        </w:rPr>
        <w:t>ост.</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36"/>
          <w:szCs w:val="36"/>
          <w:color w:val="auto"/>
          <w:vertAlign w:val="subscript"/>
        </w:rPr>
        <w:t>прогноз</w:t>
      </w:r>
      <w:r>
        <w:rPr>
          <w:rFonts w:ascii="Times New Roman" w:cs="Times New Roman" w:eastAsia="Times New Roman" w:hAnsi="Times New Roman"/>
          <w:sz w:val="28"/>
          <w:szCs w:val="28"/>
          <w:color w:val="auto"/>
        </w:rPr>
        <w:t xml:space="preserve"> = 50/(1 + 0,265) + 75/[(1 + 0,265)(1 + 0,208)] +</w:t>
      </w:r>
    </w:p>
    <w:p>
      <w:pPr>
        <w:spacing w:after="0" w:line="38" w:lineRule="exact"/>
        <w:rPr>
          <w:sz w:val="20"/>
          <w:szCs w:val="20"/>
          <w:color w:val="auto"/>
        </w:rPr>
      </w:pPr>
    </w:p>
    <w:p>
      <w:pPr>
        <w:ind w:left="2780" w:hanging="223"/>
        <w:spacing w:after="0"/>
        <w:tabs>
          <w:tab w:leader="none" w:pos="2780" w:val="left"/>
        </w:tabs>
        <w:numPr>
          <w:ilvl w:val="2"/>
          <w:numId w:val="3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80/[(1 + 0,265)(1 + 0,208)(1 + 0,173)] =</w:t>
      </w:r>
    </w:p>
    <w:p>
      <w:pPr>
        <w:ind w:left="2420" w:hanging="220"/>
        <w:spacing w:after="0"/>
        <w:tabs>
          <w:tab w:leader="none" w:pos="2420" w:val="left"/>
        </w:tabs>
        <w:numPr>
          <w:ilvl w:val="1"/>
          <w:numId w:val="3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39,526 + 49,084 + 44,643 = 133,253 тыс. руб.</w:t>
      </w:r>
    </w:p>
    <w:p>
      <w:pPr>
        <w:spacing w:after="0" w:line="322" w:lineRule="exact"/>
        <w:rPr>
          <w:rFonts w:ascii="Times New Roman" w:cs="Times New Roman" w:eastAsia="Times New Roman" w:hAnsi="Times New Roman"/>
          <w:sz w:val="28"/>
          <w:szCs w:val="28"/>
          <w:color w:val="auto"/>
        </w:rPr>
      </w:pPr>
    </w:p>
    <w:p>
      <w:pPr>
        <w:jc w:val="both"/>
        <w:ind w:left="260" w:firstLine="718"/>
        <w:spacing w:after="0" w:line="245" w:lineRule="auto"/>
        <w:tabs>
          <w:tab w:leader="none" w:pos="1318" w:val="left"/>
        </w:tabs>
        <w:numPr>
          <w:ilvl w:val="0"/>
          <w:numId w:val="3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 методу простой прямой капитализации оцениваем остаточную стоимость бизнеса в постпрогнозном периоде, приводя ее по времени затем к текущему моменту (т. е. дисконтируя в расчете на длительность прогнозного периода и получая остаточную текущую стоимость бизнеса в постпрогнозном периоде). При этом в качестве адекватного постпрогнозному периоду коэффициента капитализации используем предполагаемые как стабилизировавшиеся безрисковую ставку и среднерыночную доходность.</w:t>
      </w:r>
    </w:p>
    <w:p>
      <w:pPr>
        <w:spacing w:after="0" w:line="145"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6"/>
          <w:szCs w:val="26"/>
          <w:color w:val="auto"/>
        </w:rPr>
        <w:t>PV</w:t>
      </w:r>
      <w:r>
        <w:rPr>
          <w:rFonts w:ascii="Times New Roman" w:cs="Times New Roman" w:eastAsia="Times New Roman" w:hAnsi="Times New Roman"/>
          <w:sz w:val="33"/>
          <w:szCs w:val="33"/>
          <w:color w:val="auto"/>
          <w:vertAlign w:val="subscript"/>
        </w:rPr>
        <w:t>ост.</w:t>
      </w:r>
      <w:r>
        <w:rPr>
          <w:rFonts w:ascii="Times New Roman" w:cs="Times New Roman" w:eastAsia="Times New Roman" w:hAnsi="Times New Roman"/>
          <w:sz w:val="26"/>
          <w:szCs w:val="26"/>
          <w:color w:val="auto"/>
        </w:rPr>
        <w:t xml:space="preserve"> </w:t>
      </w:r>
      <w:r>
        <w:rPr>
          <w:rFonts w:ascii="Times New Roman" w:cs="Times New Roman" w:eastAsia="Times New Roman" w:hAnsi="Times New Roman"/>
          <w:sz w:val="33"/>
          <w:szCs w:val="33"/>
          <w:color w:val="auto"/>
          <w:vertAlign w:val="subscript"/>
        </w:rPr>
        <w:t>постпрогноз</w:t>
      </w:r>
      <w:r>
        <w:rPr>
          <w:rFonts w:ascii="Times New Roman" w:cs="Times New Roman" w:eastAsia="Times New Roman" w:hAnsi="Times New Roman"/>
          <w:sz w:val="26"/>
          <w:szCs w:val="26"/>
          <w:color w:val="auto"/>
        </w:rPr>
        <w:t xml:space="preserve"> = (80/0,173)/[(1 + 0,265)(1 + 0,208)(1 + 0,173)]=258,051 тыс. руб.</w:t>
      </w:r>
    </w:p>
    <w:p>
      <w:pPr>
        <w:spacing w:after="0" w:line="395" w:lineRule="exact"/>
        <w:rPr>
          <w:sz w:val="20"/>
          <w:szCs w:val="20"/>
          <w:color w:val="auto"/>
        </w:rPr>
      </w:pPr>
    </w:p>
    <w:p>
      <w:pPr>
        <w:jc w:val="both"/>
        <w:ind w:left="280" w:firstLine="709"/>
        <w:spacing w:after="0" w:line="255" w:lineRule="auto"/>
        <w:tabs>
          <w:tab w:leader="none" w:pos="1313" w:val="left"/>
        </w:tabs>
        <w:numPr>
          <w:ilvl w:val="0"/>
          <w:numId w:val="3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заключение для оценки итоговой остаточной текущей стоимости бизнеса складываем его остаточные текущие стоимости в прогнозном и постпрогнозном периодах:</w:t>
      </w:r>
    </w:p>
    <w:p>
      <w:pPr>
        <w:spacing w:after="0" w:line="131" w:lineRule="exact"/>
        <w:rPr>
          <w:sz w:val="20"/>
          <w:szCs w:val="20"/>
          <w:color w:val="auto"/>
        </w:rPr>
      </w:pPr>
    </w:p>
    <w:p>
      <w:pPr>
        <w:ind w:left="2320"/>
        <w:spacing w:after="0"/>
        <w:rPr>
          <w:sz w:val="20"/>
          <w:szCs w:val="20"/>
          <w:color w:val="auto"/>
        </w:rPr>
      </w:pPr>
      <w:r>
        <w:rPr>
          <w:rFonts w:ascii="Times New Roman" w:cs="Times New Roman" w:eastAsia="Times New Roman" w:hAnsi="Times New Roman"/>
          <w:sz w:val="28"/>
          <w:szCs w:val="28"/>
          <w:color w:val="auto"/>
        </w:rPr>
        <w:t>PV</w:t>
      </w:r>
      <w:r>
        <w:rPr>
          <w:rFonts w:ascii="Times New Roman" w:cs="Times New Roman" w:eastAsia="Times New Roman" w:hAnsi="Times New Roman"/>
          <w:sz w:val="36"/>
          <w:szCs w:val="36"/>
          <w:color w:val="auto"/>
          <w:vertAlign w:val="subscript"/>
        </w:rPr>
        <w:t>ост</w:t>
      </w:r>
      <w:r>
        <w:rPr>
          <w:rFonts w:ascii="Times New Roman" w:cs="Times New Roman" w:eastAsia="Times New Roman" w:hAnsi="Times New Roman"/>
          <w:sz w:val="28"/>
          <w:szCs w:val="28"/>
          <w:color w:val="auto"/>
        </w:rPr>
        <w:t xml:space="preserve"> = 133,253 + 258,051 = 391,30 тыс. руб.</w:t>
      </w:r>
    </w:p>
    <w:p>
      <w:pPr>
        <w:spacing w:after="0" w:line="361" w:lineRule="exact"/>
        <w:rPr>
          <w:sz w:val="20"/>
          <w:szCs w:val="20"/>
          <w:color w:val="auto"/>
        </w:rPr>
      </w:pPr>
    </w:p>
    <w:p>
      <w:pPr>
        <w:jc w:val="both"/>
        <w:ind w:left="260" w:firstLine="715"/>
        <w:spacing w:after="0"/>
        <w:rPr>
          <w:sz w:val="20"/>
          <w:szCs w:val="20"/>
          <w:color w:val="auto"/>
        </w:rPr>
      </w:pPr>
      <w:r>
        <w:rPr>
          <w:rFonts w:ascii="Times New Roman" w:cs="Times New Roman" w:eastAsia="Times New Roman" w:hAnsi="Times New Roman"/>
          <w:sz w:val="28"/>
          <w:szCs w:val="28"/>
          <w:u w:val="single" w:color="auto"/>
          <w:color w:val="auto"/>
        </w:rPr>
        <w:t>Задача</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u w:val="single" w:color="auto"/>
          <w:color w:val="auto"/>
        </w:rPr>
        <w:t>1.8.</w:t>
      </w:r>
      <w:r>
        <w:rPr>
          <w:rFonts w:ascii="Times New Roman" w:cs="Times New Roman" w:eastAsia="Times New Roman" w:hAnsi="Times New Roman"/>
          <w:sz w:val="28"/>
          <w:szCs w:val="28"/>
          <w:color w:val="auto"/>
        </w:rPr>
        <w:t xml:space="preserve"> Оценить остаточную текущую стоимость бизнеса, если известны следующие сведения.</w:t>
      </w:r>
    </w:p>
    <w:p>
      <w:pPr>
        <w:jc w:val="both"/>
        <w:ind w:left="260" w:firstLine="716"/>
        <w:spacing w:after="0" w:line="239" w:lineRule="auto"/>
        <w:rPr>
          <w:sz w:val="20"/>
          <w:szCs w:val="20"/>
          <w:color w:val="auto"/>
        </w:rPr>
      </w:pPr>
      <w:r>
        <w:rPr>
          <w:rFonts w:ascii="Times New Roman" w:cs="Times New Roman" w:eastAsia="Times New Roman" w:hAnsi="Times New Roman"/>
          <w:sz w:val="28"/>
          <w:szCs w:val="28"/>
          <w:color w:val="auto"/>
        </w:rPr>
        <w:t>На ближайшие три года планируются скорректированные по методу сценариев денежные потоки : за первый год - 70 000 руб.; за второй год - 85 000 руб.; за третий год - 140 000 руб. В дальнейшем денежные потоки прогнозируются как стабильные (на уровне третьего года) в течение пяти лет. После этого бизнес ожидается убыточным и вложенные в него средства не подлежат возврату.</w:t>
      </w:r>
    </w:p>
    <w:p>
      <w:pPr>
        <w:spacing w:after="0" w:line="7" w:lineRule="exact"/>
        <w:rPr>
          <w:sz w:val="20"/>
          <w:szCs w:val="20"/>
          <w:color w:val="auto"/>
        </w:rPr>
      </w:pPr>
    </w:p>
    <w:p>
      <w:pPr>
        <w:jc w:val="both"/>
        <w:ind w:left="260" w:right="20" w:firstLine="715"/>
        <w:spacing w:after="0" w:line="245" w:lineRule="auto"/>
        <w:rPr>
          <w:sz w:val="20"/>
          <w:szCs w:val="20"/>
          <w:color w:val="auto"/>
        </w:rPr>
      </w:pPr>
      <w:r>
        <w:rPr>
          <w:rFonts w:ascii="Times New Roman" w:cs="Times New Roman" w:eastAsia="Times New Roman" w:hAnsi="Times New Roman"/>
          <w:sz w:val="28"/>
          <w:szCs w:val="28"/>
          <w:color w:val="auto"/>
        </w:rPr>
        <w:t>Реальная безрисковая ставка - 2% годовых. Согласно плану -прогнозу Министерства экономического развития и торговли инфляция в стране в ближайшие три года будет составлять по оптимистическому сценарию в первом следующем году - 12%, во втором году - 10%, в третьем году - 8%. По пессимистическому сценарию инфляция окажется равной 15% в первом году, 14% во втором году и 12% в третьем году. Наиболее вероятный сценарий предполагает, что инфляция достигнет 13% в первом году, 12% - во</w:t>
      </w:r>
    </w:p>
    <w:p>
      <w:pPr>
        <w:sectPr>
          <w:pgSz w:w="11900" w:h="16840" w:orient="portrait"/>
          <w:cols w:equalWidth="0" w:num="1">
            <w:col w:w="9620"/>
          </w:cols>
          <w:pgMar w:left="1440" w:top="981" w:right="844" w:bottom="163" w:gutter="0" w:footer="0" w:header="0"/>
        </w:sectPr>
      </w:pPr>
    </w:p>
    <w:p>
      <w:pPr>
        <w:spacing w:after="0" w:line="200" w:lineRule="exact"/>
        <w:rPr>
          <w:sz w:val="20"/>
          <w:szCs w:val="20"/>
          <w:color w:val="auto"/>
        </w:rPr>
      </w:pPr>
    </w:p>
    <w:p>
      <w:pPr>
        <w:spacing w:after="0" w:line="311" w:lineRule="exact"/>
        <w:rPr>
          <w:sz w:val="20"/>
          <w:szCs w:val="20"/>
          <w:color w:val="auto"/>
        </w:rPr>
      </w:pPr>
    </w:p>
    <w:p>
      <w:pPr>
        <w:ind w:left="9380"/>
        <w:spacing w:after="0"/>
        <w:rPr>
          <w:sz w:val="20"/>
          <w:szCs w:val="20"/>
          <w:color w:val="auto"/>
        </w:rPr>
      </w:pPr>
      <w:r>
        <w:rPr>
          <w:rFonts w:ascii="Times New Roman" w:cs="Times New Roman" w:eastAsia="Times New Roman" w:hAnsi="Times New Roman"/>
          <w:sz w:val="24"/>
          <w:szCs w:val="24"/>
          <w:color w:val="auto"/>
        </w:rPr>
        <w:t>13</w:t>
      </w:r>
    </w:p>
    <w:p>
      <w:pPr>
        <w:sectPr>
          <w:pgSz w:w="11900" w:h="16840" w:orient="portrait"/>
          <w:cols w:equalWidth="0" w:num="1">
            <w:col w:w="9620"/>
          </w:cols>
          <w:pgMar w:left="1440" w:top="981" w:right="844" w:bottom="163" w:gutter="0" w:footer="0" w:header="0"/>
          <w:type w:val="continuous"/>
        </w:sectPr>
      </w:pPr>
    </w:p>
    <w:p>
      <w:pPr>
        <w:ind w:left="260" w:right="20"/>
        <w:spacing w:after="0" w:line="270" w:lineRule="auto"/>
        <w:rPr>
          <w:sz w:val="20"/>
          <w:szCs w:val="20"/>
          <w:color w:val="auto"/>
        </w:rPr>
      </w:pPr>
      <w:r>
        <w:rPr>
          <w:rFonts w:ascii="Times New Roman" w:cs="Times New Roman" w:eastAsia="Times New Roman" w:hAnsi="Times New Roman"/>
          <w:sz w:val="28"/>
          <w:szCs w:val="28"/>
          <w:color w:val="auto"/>
        </w:rPr>
        <w:t>втором и 11% - в третьем. В дальнейшем инфляция должна стабилизироваться и оставаться в среднем на уровне третьего года.</w:t>
      </w:r>
    </w:p>
    <w:p>
      <w:pPr>
        <w:spacing w:after="0" w:line="241" w:lineRule="exact"/>
        <w:rPr>
          <w:sz w:val="20"/>
          <w:szCs w:val="20"/>
          <w:color w:val="auto"/>
        </w:rPr>
      </w:pPr>
    </w:p>
    <w:p>
      <w:pPr>
        <w:ind w:left="980"/>
        <w:spacing w:after="0"/>
        <w:rPr>
          <w:sz w:val="20"/>
          <w:szCs w:val="20"/>
          <w:color w:val="auto"/>
        </w:rPr>
      </w:pPr>
      <w:r>
        <w:rPr>
          <w:rFonts w:ascii="Times New Roman" w:cs="Times New Roman" w:eastAsia="Times New Roman" w:hAnsi="Times New Roman"/>
          <w:sz w:val="28"/>
          <w:szCs w:val="28"/>
          <w:u w:val="single" w:color="auto"/>
          <w:color w:val="auto"/>
        </w:rPr>
        <w:t>Решение.</w:t>
      </w:r>
    </w:p>
    <w:p>
      <w:pPr>
        <w:jc w:val="both"/>
        <w:ind w:left="280" w:right="20" w:firstLine="711"/>
        <w:spacing w:after="0"/>
        <w:tabs>
          <w:tab w:leader="none" w:pos="1377" w:val="left"/>
        </w:tabs>
        <w:numPr>
          <w:ilvl w:val="0"/>
          <w:numId w:val="3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том, что касается определения остаточной текущей стоимости рассматриваемого бизнеса данная задача решается в целом аналогично предыдущей - с той разницей, что используются иные исходные цифры: работа идет с денежными потоками, в которых уже по методу сценариев учтены риски бизнеса. Поэтому для дисконтирования денежных потоков в прогнозном периоде достаточно применять переменную безрисковую ставку.</w:t>
      </w:r>
    </w:p>
    <w:p>
      <w:pPr>
        <w:jc w:val="both"/>
        <w:ind w:left="300" w:right="20" w:firstLine="716"/>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Капитализация же постоянного денежного потока в постпрогнозном периоде осуществляется по-другому, так как длительность этого периода ограничена во времени. Кроме того, коэффициент капитализации денежных потоков в постпрогнозном периоде также основывается на адекватной указанному периоду безрисковой ставке.</w:t>
      </w:r>
    </w:p>
    <w:p>
      <w:pPr>
        <w:ind w:left="98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Таким образом, решение задачи выглядит следующим образом.</w:t>
      </w:r>
    </w:p>
    <w:p>
      <w:pPr>
        <w:jc w:val="both"/>
        <w:ind w:left="260" w:firstLine="716"/>
        <w:spacing w:after="0" w:line="250"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 Для прогнозного периода устанавливаем величины безрисковых норм дохода (переменных безрисковых ставок) по годам этого периода, опираясь на предположение о нормальном характере распределения вероятностей всех сценариев изменения инфляции:</w:t>
      </w:r>
    </w:p>
    <w:p>
      <w:pPr>
        <w:spacing w:after="0" w:line="138" w:lineRule="exact"/>
        <w:rPr>
          <w:sz w:val="20"/>
          <w:szCs w:val="20"/>
          <w:color w:val="auto"/>
        </w:rPr>
      </w:pPr>
    </w:p>
    <w:p>
      <w:pPr>
        <w:ind w:left="4200"/>
        <w:spacing w:after="0"/>
        <w:rPr>
          <w:sz w:val="20"/>
          <w:szCs w:val="20"/>
          <w:color w:val="auto"/>
        </w:rPr>
      </w:pPr>
      <w:r>
        <w:rPr>
          <w:rFonts w:ascii="Times New Roman" w:cs="Times New Roman" w:eastAsia="Times New Roman" w:hAnsi="Times New Roman"/>
          <w:sz w:val="28"/>
          <w:szCs w:val="28"/>
          <w:color w:val="auto"/>
        </w:rPr>
        <w:t>R</w:t>
      </w:r>
      <w:r>
        <w:rPr>
          <w:rFonts w:ascii="Times New Roman" w:cs="Times New Roman" w:eastAsia="Times New Roman" w:hAnsi="Times New Roman"/>
          <w:sz w:val="36"/>
          <w:szCs w:val="36"/>
          <w:color w:val="auto"/>
          <w:vertAlign w:val="subscript"/>
        </w:rPr>
        <w:t>e</w:t>
      </w:r>
      <w:r>
        <w:rPr>
          <w:rFonts w:ascii="Times New Roman" w:cs="Times New Roman" w:eastAsia="Times New Roman" w:hAnsi="Times New Roman"/>
          <w:sz w:val="28"/>
          <w:szCs w:val="28"/>
          <w:color w:val="auto"/>
        </w:rPr>
        <w:t xml:space="preserve"> = r</w:t>
      </w:r>
      <w:r>
        <w:rPr>
          <w:rFonts w:ascii="Times New Roman" w:cs="Times New Roman" w:eastAsia="Times New Roman" w:hAnsi="Times New Roman"/>
          <w:sz w:val="36"/>
          <w:szCs w:val="36"/>
          <w:color w:val="auto"/>
          <w:vertAlign w:val="subscript"/>
        </w:rPr>
        <w:t>e</w:t>
      </w:r>
      <w:r>
        <w:rPr>
          <w:rFonts w:ascii="Times New Roman" w:cs="Times New Roman" w:eastAsia="Times New Roman" w:hAnsi="Times New Roman"/>
          <w:sz w:val="28"/>
          <w:szCs w:val="28"/>
          <w:color w:val="auto"/>
        </w:rPr>
        <w:t xml:space="preserve"> +S</w:t>
      </w:r>
      <w:r>
        <w:rPr>
          <w:rFonts w:ascii="Times New Roman" w:cs="Times New Roman" w:eastAsia="Times New Roman" w:hAnsi="Times New Roman"/>
          <w:sz w:val="36"/>
          <w:szCs w:val="36"/>
          <w:color w:val="auto"/>
          <w:vertAlign w:val="subscript"/>
        </w:rPr>
        <w:t>e</w:t>
      </w:r>
      <w:r>
        <w:rPr>
          <w:rFonts w:ascii="Times New Roman" w:cs="Times New Roman" w:eastAsia="Times New Roman" w:hAnsi="Times New Roman"/>
          <w:sz w:val="28"/>
          <w:szCs w:val="28"/>
          <w:color w:val="auto"/>
        </w:rPr>
        <w:t xml:space="preserve"> + r</w:t>
      </w:r>
      <w:r>
        <w:rPr>
          <w:rFonts w:ascii="Times New Roman" w:cs="Times New Roman" w:eastAsia="Times New Roman" w:hAnsi="Times New Roman"/>
          <w:sz w:val="36"/>
          <w:szCs w:val="36"/>
          <w:color w:val="auto"/>
          <w:vertAlign w:val="subscript"/>
        </w:rPr>
        <w:t>e</w:t>
      </w:r>
      <w:r>
        <w:rPr>
          <w:rFonts w:ascii="Times New Roman" w:cs="Times New Roman" w:eastAsia="Times New Roman" w:hAnsi="Times New Roman"/>
          <w:sz w:val="28"/>
          <w:szCs w:val="28"/>
          <w:color w:val="auto"/>
        </w:rPr>
        <w:t xml:space="preserve"> · S</w:t>
      </w:r>
      <w:r>
        <w:rPr>
          <w:rFonts w:ascii="Times New Roman" w:cs="Times New Roman" w:eastAsia="Times New Roman" w:hAnsi="Times New Roman"/>
          <w:sz w:val="36"/>
          <w:szCs w:val="36"/>
          <w:color w:val="auto"/>
          <w:vertAlign w:val="subscript"/>
        </w:rPr>
        <w:t>e</w:t>
      </w:r>
      <w:r>
        <w:rPr>
          <w:rFonts w:ascii="Times New Roman" w:cs="Times New Roman" w:eastAsia="Times New Roman" w:hAnsi="Times New Roman"/>
          <w:sz w:val="28"/>
          <w:szCs w:val="28"/>
          <w:color w:val="auto"/>
        </w:rPr>
        <w:t>,</w:t>
      </w:r>
    </w:p>
    <w:p>
      <w:pPr>
        <w:spacing w:after="0" w:line="229"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где S</w:t>
      </w:r>
      <w:r>
        <w:rPr>
          <w:rFonts w:ascii="Times New Roman" w:cs="Times New Roman" w:eastAsia="Times New Roman" w:hAnsi="Times New Roman"/>
          <w:sz w:val="36"/>
          <w:szCs w:val="36"/>
          <w:color w:val="auto"/>
          <w:vertAlign w:val="subscript"/>
        </w:rPr>
        <w:t>e</w:t>
      </w:r>
      <w:r>
        <w:rPr>
          <w:rFonts w:ascii="Times New Roman" w:cs="Times New Roman" w:eastAsia="Times New Roman" w:hAnsi="Times New Roman"/>
          <w:sz w:val="28"/>
          <w:szCs w:val="28"/>
          <w:color w:val="auto"/>
        </w:rPr>
        <w:t xml:space="preserve"> = (S</w:t>
      </w:r>
      <w:r>
        <w:rPr>
          <w:rFonts w:ascii="Times New Roman" w:cs="Times New Roman" w:eastAsia="Times New Roman" w:hAnsi="Times New Roman"/>
          <w:sz w:val="36"/>
          <w:szCs w:val="36"/>
          <w:color w:val="auto"/>
          <w:vertAlign w:val="subscript"/>
        </w:rPr>
        <w:t>e</w:t>
      </w:r>
      <w:r>
        <w:rPr>
          <w:rFonts w:ascii="Times New Roman" w:cs="Times New Roman" w:eastAsia="Times New Roman" w:hAnsi="Times New Roman"/>
          <w:sz w:val="36"/>
          <w:szCs w:val="36"/>
          <w:color w:val="auto"/>
          <w:vertAlign w:val="superscript"/>
        </w:rPr>
        <w:t>пеc</w:t>
      </w:r>
      <w:r>
        <w:rPr>
          <w:rFonts w:ascii="Times New Roman" w:cs="Times New Roman" w:eastAsia="Times New Roman" w:hAnsi="Times New Roman"/>
          <w:sz w:val="28"/>
          <w:szCs w:val="28"/>
          <w:color w:val="auto"/>
        </w:rPr>
        <w:t xml:space="preserve"> + 4S</w:t>
      </w:r>
      <w:r>
        <w:rPr>
          <w:rFonts w:ascii="Times New Roman" w:cs="Times New Roman" w:eastAsia="Times New Roman" w:hAnsi="Times New Roman"/>
          <w:sz w:val="36"/>
          <w:szCs w:val="36"/>
          <w:color w:val="auto"/>
          <w:vertAlign w:val="subscript"/>
        </w:rPr>
        <w:t>e</w:t>
      </w:r>
      <w:r>
        <w:rPr>
          <w:rFonts w:ascii="Times New Roman" w:cs="Times New Roman" w:eastAsia="Times New Roman" w:hAnsi="Times New Roman"/>
          <w:sz w:val="36"/>
          <w:szCs w:val="36"/>
          <w:color w:val="auto"/>
          <w:vertAlign w:val="superscript"/>
        </w:rPr>
        <w:t>н.в.</w:t>
      </w:r>
      <w:r>
        <w:rPr>
          <w:rFonts w:ascii="Times New Roman" w:cs="Times New Roman" w:eastAsia="Times New Roman" w:hAnsi="Times New Roman"/>
          <w:sz w:val="28"/>
          <w:szCs w:val="28"/>
          <w:color w:val="auto"/>
        </w:rPr>
        <w:t xml:space="preserve"> + S</w:t>
      </w:r>
      <w:r>
        <w:rPr>
          <w:rFonts w:ascii="Times New Roman" w:cs="Times New Roman" w:eastAsia="Times New Roman" w:hAnsi="Times New Roman"/>
          <w:sz w:val="36"/>
          <w:szCs w:val="36"/>
          <w:color w:val="auto"/>
          <w:vertAlign w:val="subscript"/>
        </w:rPr>
        <w:t>e</w:t>
      </w:r>
      <w:r>
        <w:rPr>
          <w:rFonts w:ascii="Times New Roman" w:cs="Times New Roman" w:eastAsia="Times New Roman" w:hAnsi="Times New Roman"/>
          <w:sz w:val="36"/>
          <w:szCs w:val="36"/>
          <w:color w:val="auto"/>
          <w:vertAlign w:val="superscript"/>
        </w:rPr>
        <w:t>oпт</w:t>
      </w:r>
      <w:r>
        <w:rPr>
          <w:rFonts w:ascii="Times New Roman" w:cs="Times New Roman" w:eastAsia="Times New Roman" w:hAnsi="Times New Roman"/>
          <w:sz w:val="28"/>
          <w:szCs w:val="28"/>
          <w:color w:val="auto"/>
        </w:rPr>
        <w:t>) / 6.</w:t>
      </w:r>
    </w:p>
    <w:p>
      <w:pPr>
        <w:spacing w:after="0" w:line="361" w:lineRule="exact"/>
        <w:rPr>
          <w:sz w:val="20"/>
          <w:szCs w:val="20"/>
          <w:color w:val="auto"/>
        </w:rPr>
      </w:pPr>
    </w:p>
    <w:p>
      <w:pPr>
        <w:ind w:left="980"/>
        <w:spacing w:after="0"/>
        <w:rPr>
          <w:sz w:val="20"/>
          <w:szCs w:val="20"/>
          <w:color w:val="auto"/>
        </w:rPr>
      </w:pPr>
      <w:r>
        <w:rPr>
          <w:rFonts w:ascii="Times New Roman" w:cs="Times New Roman" w:eastAsia="Times New Roman" w:hAnsi="Times New Roman"/>
          <w:sz w:val="28"/>
          <w:szCs w:val="28"/>
          <w:color w:val="auto"/>
        </w:rPr>
        <w:t>То есть:</w:t>
      </w:r>
    </w:p>
    <w:p>
      <w:pPr>
        <w:spacing w:after="0" w:line="190" w:lineRule="exact"/>
        <w:rPr>
          <w:sz w:val="20"/>
          <w:szCs w:val="20"/>
          <w:color w:val="auto"/>
        </w:rPr>
      </w:pPr>
    </w:p>
    <w:p>
      <w:pPr>
        <w:ind w:left="2800"/>
        <w:spacing w:after="0"/>
        <w:rPr>
          <w:sz w:val="20"/>
          <w:szCs w:val="20"/>
          <w:color w:val="auto"/>
        </w:rPr>
      </w:pPr>
      <w:r>
        <w:rPr>
          <w:rFonts w:ascii="Times New Roman" w:cs="Times New Roman" w:eastAsia="Times New Roman" w:hAnsi="Times New Roman"/>
          <w:sz w:val="28"/>
          <w:szCs w:val="28"/>
          <w:color w:val="auto"/>
        </w:rPr>
        <w:t>S</w:t>
      </w:r>
      <w:r>
        <w:rPr>
          <w:rFonts w:ascii="Times New Roman" w:cs="Times New Roman" w:eastAsia="Times New Roman" w:hAnsi="Times New Roman"/>
          <w:sz w:val="36"/>
          <w:szCs w:val="36"/>
          <w:color w:val="auto"/>
          <w:vertAlign w:val="subscript"/>
        </w:rPr>
        <w:t>1</w:t>
      </w:r>
      <w:r>
        <w:rPr>
          <w:rFonts w:ascii="Times New Roman" w:cs="Times New Roman" w:eastAsia="Times New Roman" w:hAnsi="Times New Roman"/>
          <w:sz w:val="28"/>
          <w:szCs w:val="28"/>
          <w:color w:val="auto"/>
        </w:rPr>
        <w:t xml:space="preserve"> = (0,15 + 4·0,13 + 0,12) / 6 = 0,132</w:t>
      </w:r>
    </w:p>
    <w:p>
      <w:pPr>
        <w:ind w:left="2780"/>
        <w:spacing w:after="0" w:line="209" w:lineRule="auto"/>
        <w:rPr>
          <w:sz w:val="20"/>
          <w:szCs w:val="20"/>
          <w:color w:val="auto"/>
        </w:rPr>
      </w:pPr>
      <w:r>
        <w:rPr>
          <w:rFonts w:ascii="Times New Roman" w:cs="Times New Roman" w:eastAsia="Times New Roman" w:hAnsi="Times New Roman"/>
          <w:sz w:val="28"/>
          <w:szCs w:val="28"/>
          <w:color w:val="auto"/>
        </w:rPr>
        <w:t>S</w:t>
      </w:r>
      <w:r>
        <w:rPr>
          <w:rFonts w:ascii="Times New Roman" w:cs="Times New Roman" w:eastAsia="Times New Roman" w:hAnsi="Times New Roman"/>
          <w:sz w:val="36"/>
          <w:szCs w:val="36"/>
          <w:color w:val="auto"/>
          <w:vertAlign w:val="subscript"/>
        </w:rPr>
        <w:t>2</w:t>
      </w:r>
      <w:r>
        <w:rPr>
          <w:rFonts w:ascii="Times New Roman" w:cs="Times New Roman" w:eastAsia="Times New Roman" w:hAnsi="Times New Roman"/>
          <w:sz w:val="28"/>
          <w:szCs w:val="28"/>
          <w:color w:val="auto"/>
        </w:rPr>
        <w:t xml:space="preserve"> = (0,14 + 4·0,12 + 0,10) / 6 = 0,120</w:t>
      </w:r>
    </w:p>
    <w:p>
      <w:pPr>
        <w:ind w:left="2760"/>
        <w:spacing w:after="0" w:line="216" w:lineRule="auto"/>
        <w:rPr>
          <w:sz w:val="20"/>
          <w:szCs w:val="20"/>
          <w:color w:val="auto"/>
        </w:rPr>
      </w:pPr>
      <w:r>
        <w:rPr>
          <w:rFonts w:ascii="Times New Roman" w:cs="Times New Roman" w:eastAsia="Times New Roman" w:hAnsi="Times New Roman"/>
          <w:sz w:val="28"/>
          <w:szCs w:val="28"/>
          <w:color w:val="auto"/>
        </w:rPr>
        <w:t>S</w:t>
      </w:r>
      <w:r>
        <w:rPr>
          <w:rFonts w:ascii="Times New Roman" w:cs="Times New Roman" w:eastAsia="Times New Roman" w:hAnsi="Times New Roman"/>
          <w:sz w:val="36"/>
          <w:szCs w:val="36"/>
          <w:color w:val="auto"/>
          <w:vertAlign w:val="subscript"/>
        </w:rPr>
        <w:t>3</w:t>
      </w:r>
      <w:r>
        <w:rPr>
          <w:rFonts w:ascii="Times New Roman" w:cs="Times New Roman" w:eastAsia="Times New Roman" w:hAnsi="Times New Roman"/>
          <w:sz w:val="28"/>
          <w:szCs w:val="28"/>
          <w:color w:val="auto"/>
        </w:rPr>
        <w:t xml:space="preserve"> = (0,12 + 4·0,11 + 0,08) / 6 = 0,107.</w:t>
      </w:r>
    </w:p>
    <w:p>
      <w:pPr>
        <w:spacing w:after="0" w:line="273" w:lineRule="exact"/>
        <w:rPr>
          <w:sz w:val="20"/>
          <w:szCs w:val="20"/>
          <w:color w:val="auto"/>
        </w:rPr>
      </w:pPr>
    </w:p>
    <w:p>
      <w:pPr>
        <w:ind w:left="980"/>
        <w:spacing w:after="0"/>
        <w:rPr>
          <w:sz w:val="20"/>
          <w:szCs w:val="20"/>
          <w:color w:val="auto"/>
        </w:rPr>
      </w:pPr>
      <w:r>
        <w:rPr>
          <w:rFonts w:ascii="Times New Roman" w:cs="Times New Roman" w:eastAsia="Times New Roman" w:hAnsi="Times New Roman"/>
          <w:sz w:val="28"/>
          <w:szCs w:val="28"/>
          <w:color w:val="auto"/>
        </w:rPr>
        <w:t>Соответственно:</w:t>
      </w:r>
    </w:p>
    <w:p>
      <w:pPr>
        <w:spacing w:after="0" w:line="190" w:lineRule="exact"/>
        <w:rPr>
          <w:sz w:val="20"/>
          <w:szCs w:val="20"/>
          <w:color w:val="auto"/>
        </w:rPr>
      </w:pPr>
    </w:p>
    <w:p>
      <w:pPr>
        <w:ind w:left="2660"/>
        <w:spacing w:after="0"/>
        <w:rPr>
          <w:sz w:val="20"/>
          <w:szCs w:val="20"/>
          <w:color w:val="auto"/>
        </w:rPr>
      </w:pPr>
      <w:r>
        <w:rPr>
          <w:rFonts w:ascii="Times New Roman" w:cs="Times New Roman" w:eastAsia="Times New Roman" w:hAnsi="Times New Roman"/>
          <w:sz w:val="28"/>
          <w:szCs w:val="28"/>
          <w:color w:val="auto"/>
        </w:rPr>
        <w:t>R</w:t>
      </w:r>
      <w:r>
        <w:rPr>
          <w:rFonts w:ascii="Times New Roman" w:cs="Times New Roman" w:eastAsia="Times New Roman" w:hAnsi="Times New Roman"/>
          <w:sz w:val="36"/>
          <w:szCs w:val="36"/>
          <w:color w:val="auto"/>
          <w:vertAlign w:val="subscript"/>
        </w:rPr>
        <w:t>1</w:t>
      </w:r>
      <w:r>
        <w:rPr>
          <w:rFonts w:ascii="Times New Roman" w:cs="Times New Roman" w:eastAsia="Times New Roman" w:hAnsi="Times New Roman"/>
          <w:sz w:val="28"/>
          <w:szCs w:val="28"/>
          <w:color w:val="auto"/>
        </w:rPr>
        <w:t xml:space="preserve"> = 0,02 + 0,132 + 0,02 · 0,122 = 0,155</w:t>
      </w:r>
    </w:p>
    <w:p>
      <w:pPr>
        <w:ind w:left="2660"/>
        <w:spacing w:after="0" w:line="209" w:lineRule="auto"/>
        <w:rPr>
          <w:sz w:val="20"/>
          <w:szCs w:val="20"/>
          <w:color w:val="auto"/>
        </w:rPr>
      </w:pPr>
      <w:r>
        <w:rPr>
          <w:rFonts w:ascii="Times New Roman" w:cs="Times New Roman" w:eastAsia="Times New Roman" w:hAnsi="Times New Roman"/>
          <w:sz w:val="28"/>
          <w:szCs w:val="28"/>
          <w:color w:val="auto"/>
        </w:rPr>
        <w:t>R</w:t>
      </w:r>
      <w:r>
        <w:rPr>
          <w:rFonts w:ascii="Times New Roman" w:cs="Times New Roman" w:eastAsia="Times New Roman" w:hAnsi="Times New Roman"/>
          <w:sz w:val="36"/>
          <w:szCs w:val="36"/>
          <w:color w:val="auto"/>
          <w:vertAlign w:val="subscript"/>
        </w:rPr>
        <w:t>2</w:t>
      </w:r>
      <w:r>
        <w:rPr>
          <w:rFonts w:ascii="Times New Roman" w:cs="Times New Roman" w:eastAsia="Times New Roman" w:hAnsi="Times New Roman"/>
          <w:sz w:val="28"/>
          <w:szCs w:val="28"/>
          <w:color w:val="auto"/>
        </w:rPr>
        <w:t xml:space="preserve"> = 0,02 + 0,120 + 0,02 · 0,103 = 0,142</w:t>
      </w:r>
    </w:p>
    <w:p>
      <w:pPr>
        <w:ind w:left="2640"/>
        <w:spacing w:after="0" w:line="216" w:lineRule="auto"/>
        <w:rPr>
          <w:sz w:val="20"/>
          <w:szCs w:val="20"/>
          <w:color w:val="auto"/>
        </w:rPr>
      </w:pPr>
      <w:r>
        <w:rPr>
          <w:rFonts w:ascii="Times New Roman" w:cs="Times New Roman" w:eastAsia="Times New Roman" w:hAnsi="Times New Roman"/>
          <w:sz w:val="28"/>
          <w:szCs w:val="28"/>
          <w:color w:val="auto"/>
        </w:rPr>
        <w:t>R</w:t>
      </w:r>
      <w:r>
        <w:rPr>
          <w:rFonts w:ascii="Times New Roman" w:cs="Times New Roman" w:eastAsia="Times New Roman" w:hAnsi="Times New Roman"/>
          <w:sz w:val="36"/>
          <w:szCs w:val="36"/>
          <w:color w:val="auto"/>
          <w:vertAlign w:val="subscript"/>
        </w:rPr>
        <w:t>3</w:t>
      </w:r>
      <w:r>
        <w:rPr>
          <w:rFonts w:ascii="Times New Roman" w:cs="Times New Roman" w:eastAsia="Times New Roman" w:hAnsi="Times New Roman"/>
          <w:sz w:val="28"/>
          <w:szCs w:val="28"/>
          <w:color w:val="auto"/>
        </w:rPr>
        <w:t xml:space="preserve"> = 0,02 + 0,107 + 0,02 · 0,085 = 0,129.</w:t>
      </w:r>
    </w:p>
    <w:p>
      <w:pPr>
        <w:spacing w:after="0" w:line="271" w:lineRule="exact"/>
        <w:rPr>
          <w:sz w:val="20"/>
          <w:szCs w:val="20"/>
          <w:color w:val="auto"/>
        </w:rPr>
      </w:pPr>
    </w:p>
    <w:p>
      <w:pPr>
        <w:jc w:val="both"/>
        <w:ind w:left="340" w:firstLine="714"/>
        <w:spacing w:after="0" w:line="247" w:lineRule="auto"/>
        <w:tabs>
          <w:tab w:leader="none" w:pos="1432" w:val="left"/>
        </w:tabs>
        <w:numPr>
          <w:ilvl w:val="0"/>
          <w:numId w:val="4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 применением полученных переменных безрисковых ставок и данных по ожидаемым в прогнозном периоде достаточно точно спланированным и скорректированным на риски денежным потокам рассчитываем остаточную текущую стоимость бизнеса в прогнозном периоде:</w:t>
      </w:r>
    </w:p>
    <w:p>
      <w:pPr>
        <w:spacing w:after="0" w:line="144" w:lineRule="exact"/>
        <w:rPr>
          <w:sz w:val="20"/>
          <w:szCs w:val="20"/>
          <w:color w:val="auto"/>
        </w:rPr>
      </w:pPr>
    </w:p>
    <w:p>
      <w:pPr>
        <w:jc w:val="center"/>
        <w:ind w:right="-259"/>
        <w:spacing w:after="0"/>
        <w:rPr>
          <w:sz w:val="20"/>
          <w:szCs w:val="20"/>
          <w:color w:val="auto"/>
        </w:rPr>
      </w:pPr>
      <w:r>
        <w:rPr>
          <w:rFonts w:ascii="Times New Roman" w:cs="Times New Roman" w:eastAsia="Times New Roman" w:hAnsi="Times New Roman"/>
          <w:sz w:val="28"/>
          <w:szCs w:val="28"/>
          <w:color w:val="auto"/>
        </w:rPr>
        <w:t>PV</w:t>
      </w:r>
      <w:r>
        <w:rPr>
          <w:rFonts w:ascii="Times New Roman" w:cs="Times New Roman" w:eastAsia="Times New Roman" w:hAnsi="Times New Roman"/>
          <w:sz w:val="36"/>
          <w:szCs w:val="36"/>
          <w:color w:val="auto"/>
          <w:vertAlign w:val="subscript"/>
        </w:rPr>
        <w:t>ост.</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36"/>
          <w:szCs w:val="36"/>
          <w:color w:val="auto"/>
          <w:vertAlign w:val="subscript"/>
        </w:rPr>
        <w:t>прогноз</w:t>
      </w:r>
      <w:r>
        <w:rPr>
          <w:rFonts w:ascii="Times New Roman" w:cs="Times New Roman" w:eastAsia="Times New Roman" w:hAnsi="Times New Roman"/>
          <w:sz w:val="28"/>
          <w:szCs w:val="28"/>
          <w:color w:val="auto"/>
        </w:rPr>
        <w:t xml:space="preserve"> = 70/[(1 + 0,155) + 85/[(1 + 0,155)(l + 0,142)] +</w:t>
      </w:r>
    </w:p>
    <w:p>
      <w:pPr>
        <w:spacing w:after="0" w:line="40" w:lineRule="exact"/>
        <w:rPr>
          <w:sz w:val="20"/>
          <w:szCs w:val="20"/>
          <w:color w:val="auto"/>
        </w:rPr>
      </w:pPr>
    </w:p>
    <w:p>
      <w:pPr>
        <w:jc w:val="center"/>
        <w:ind w:right="-259"/>
        <w:spacing w:after="0"/>
        <w:rPr>
          <w:sz w:val="20"/>
          <w:szCs w:val="20"/>
          <w:color w:val="auto"/>
        </w:rPr>
      </w:pPr>
      <w:r>
        <w:rPr>
          <w:rFonts w:ascii="Times New Roman" w:cs="Times New Roman" w:eastAsia="Times New Roman" w:hAnsi="Times New Roman"/>
          <w:sz w:val="28"/>
          <w:szCs w:val="28"/>
          <w:color w:val="auto"/>
        </w:rPr>
        <w:t>+ 140/[(1 + 0,155)(1 + 0,142)(1 + 0,129)] =</w:t>
      </w:r>
    </w:p>
    <w:p>
      <w:pPr>
        <w:sectPr>
          <w:pgSz w:w="11900" w:h="16840" w:orient="portrait"/>
          <w:cols w:equalWidth="0" w:num="1">
            <w:col w:w="9620"/>
          </w:cols>
          <w:pgMar w:left="1440" w:top="1112" w:right="844" w:bottom="163" w:gutter="0" w:footer="0" w:header="0"/>
        </w:sectPr>
      </w:pPr>
    </w:p>
    <w:p>
      <w:pPr>
        <w:spacing w:after="0" w:line="235" w:lineRule="exact"/>
        <w:rPr>
          <w:sz w:val="20"/>
          <w:szCs w:val="20"/>
          <w:color w:val="auto"/>
        </w:rPr>
      </w:pPr>
    </w:p>
    <w:p>
      <w:pPr>
        <w:ind w:left="9380"/>
        <w:spacing w:after="0"/>
        <w:rPr>
          <w:sz w:val="20"/>
          <w:szCs w:val="20"/>
          <w:color w:val="auto"/>
        </w:rPr>
      </w:pPr>
      <w:r>
        <w:rPr>
          <w:rFonts w:ascii="Times New Roman" w:cs="Times New Roman" w:eastAsia="Times New Roman" w:hAnsi="Times New Roman"/>
          <w:sz w:val="24"/>
          <w:szCs w:val="24"/>
          <w:color w:val="auto"/>
        </w:rPr>
        <w:t>14</w:t>
      </w:r>
    </w:p>
    <w:p>
      <w:pPr>
        <w:sectPr>
          <w:pgSz w:w="11900" w:h="16840" w:orient="portrait"/>
          <w:cols w:equalWidth="0" w:num="1">
            <w:col w:w="9620"/>
          </w:cols>
          <w:pgMar w:left="1440" w:top="1112" w:right="844" w:bottom="163" w:gutter="0" w:footer="0" w:header="0"/>
          <w:type w:val="continuous"/>
        </w:sectPr>
      </w:pPr>
    </w:p>
    <w:p>
      <w:pPr>
        <w:ind w:left="2420" w:hanging="220"/>
        <w:spacing w:after="0"/>
        <w:tabs>
          <w:tab w:leader="none" w:pos="2420" w:val="left"/>
        </w:tabs>
        <w:numPr>
          <w:ilvl w:val="1"/>
          <w:numId w:val="4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60,606 + 64,443 + 94,023 = 219,072 тыс. руб.</w:t>
      </w:r>
    </w:p>
    <w:p>
      <w:pPr>
        <w:spacing w:after="0" w:line="322" w:lineRule="exact"/>
        <w:rPr>
          <w:rFonts w:ascii="Times New Roman" w:cs="Times New Roman" w:eastAsia="Times New Roman" w:hAnsi="Times New Roman"/>
          <w:sz w:val="28"/>
          <w:szCs w:val="28"/>
          <w:color w:val="auto"/>
        </w:rPr>
      </w:pPr>
    </w:p>
    <w:p>
      <w:pPr>
        <w:jc w:val="both"/>
        <w:ind w:left="320" w:right="20" w:firstLine="712"/>
        <w:spacing w:after="0" w:line="244" w:lineRule="auto"/>
        <w:tabs>
          <w:tab w:leader="none" w:pos="1378" w:val="left"/>
        </w:tabs>
        <w:numPr>
          <w:ilvl w:val="0"/>
          <w:numId w:val="4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 методу капитализации согласно модели Хоскальда оцениваем остаточную стоимость бизнеса в постпрогнозном периоде, приводя ее по времени затем к текущему моменту (т. е. дисконтируя в расчете на длительность прогнозного периода и получая остаточную текущую стоимость бизнеса в постпрогнозном периоде). При этом в качестве адекватного постпрогнозному периоду коэффициента капитализации используем коэффициент капитализации в модели Хоскальда, основанный на предполагаемой как стабилизировавшейся безрисковой ставке.</w:t>
      </w:r>
    </w:p>
    <w:p>
      <w:pPr>
        <w:spacing w:after="0" w:line="147" w:lineRule="exact"/>
        <w:rPr>
          <w:sz w:val="20"/>
          <w:szCs w:val="20"/>
          <w:color w:val="auto"/>
        </w:rPr>
      </w:pPr>
    </w:p>
    <w:p>
      <w:pPr>
        <w:jc w:val="center"/>
        <w:ind w:right="-259"/>
        <w:spacing w:after="0" w:line="320" w:lineRule="auto"/>
        <w:rPr>
          <w:sz w:val="20"/>
          <w:szCs w:val="20"/>
          <w:color w:val="auto"/>
        </w:rPr>
      </w:pPr>
      <w:r>
        <w:rPr>
          <w:rFonts w:ascii="Times New Roman" w:cs="Times New Roman" w:eastAsia="Times New Roman" w:hAnsi="Times New Roman"/>
          <w:sz w:val="27"/>
          <w:szCs w:val="27"/>
          <w:color w:val="auto"/>
        </w:rPr>
        <w:t>PV</w:t>
      </w:r>
      <w:r>
        <w:rPr>
          <w:rFonts w:ascii="Times New Roman" w:cs="Times New Roman" w:eastAsia="Times New Roman" w:hAnsi="Times New Roman"/>
          <w:sz w:val="35"/>
          <w:szCs w:val="35"/>
          <w:color w:val="auto"/>
          <w:vertAlign w:val="subscript"/>
        </w:rPr>
        <w:t>ост.</w:t>
      </w:r>
      <w:r>
        <w:rPr>
          <w:rFonts w:ascii="Times New Roman" w:cs="Times New Roman" w:eastAsia="Times New Roman" w:hAnsi="Times New Roman"/>
          <w:sz w:val="27"/>
          <w:szCs w:val="27"/>
          <w:color w:val="auto"/>
        </w:rPr>
        <w:t xml:space="preserve"> </w:t>
      </w:r>
      <w:r>
        <w:rPr>
          <w:rFonts w:ascii="Times New Roman" w:cs="Times New Roman" w:eastAsia="Times New Roman" w:hAnsi="Times New Roman"/>
          <w:sz w:val="35"/>
          <w:szCs w:val="35"/>
          <w:color w:val="auto"/>
          <w:vertAlign w:val="subscript"/>
        </w:rPr>
        <w:t>постпрогноз</w:t>
      </w:r>
      <w:r>
        <w:rPr>
          <w:rFonts w:ascii="Times New Roman" w:cs="Times New Roman" w:eastAsia="Times New Roman" w:hAnsi="Times New Roman"/>
          <w:sz w:val="27"/>
          <w:szCs w:val="27"/>
          <w:color w:val="auto"/>
        </w:rPr>
        <w:t xml:space="preserve"> = 140/[0,129 + 0,129/[(1+0,129)</w:t>
      </w:r>
      <w:r>
        <w:rPr>
          <w:rFonts w:ascii="Times New Roman" w:cs="Times New Roman" w:eastAsia="Times New Roman" w:hAnsi="Times New Roman"/>
          <w:sz w:val="35"/>
          <w:szCs w:val="35"/>
          <w:color w:val="auto"/>
          <w:vertAlign w:val="superscript"/>
        </w:rPr>
        <w:t>3</w:t>
      </w:r>
      <w:r>
        <w:rPr>
          <w:rFonts w:ascii="Times New Roman" w:cs="Times New Roman" w:eastAsia="Times New Roman" w:hAnsi="Times New Roman"/>
          <w:sz w:val="27"/>
          <w:szCs w:val="27"/>
          <w:color w:val="auto"/>
        </w:rPr>
        <w:t xml:space="preserve"> - 1]]/ /[(1+0,155)(1+0,142)(1+0,129)] = 492,958 : 1,489 = 331,066 тыс. руб.</w:t>
      </w:r>
    </w:p>
    <w:p>
      <w:pPr>
        <w:spacing w:after="0" w:line="146" w:lineRule="exact"/>
        <w:rPr>
          <w:sz w:val="20"/>
          <w:szCs w:val="20"/>
          <w:color w:val="auto"/>
        </w:rPr>
      </w:pPr>
    </w:p>
    <w:p>
      <w:pPr>
        <w:jc w:val="both"/>
        <w:ind w:left="280" w:right="60" w:firstLine="723"/>
        <w:spacing w:after="0" w:line="255" w:lineRule="auto"/>
        <w:tabs>
          <w:tab w:leader="none" w:pos="1408" w:val="left"/>
        </w:tabs>
        <w:numPr>
          <w:ilvl w:val="0"/>
          <w:numId w:val="4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Для оценки итоговой остаточной текущей стоимости бизнеса складываем его остаточные текущие стоимости в прогнозном и постпрогнозном периодах:</w:t>
      </w:r>
    </w:p>
    <w:p>
      <w:pPr>
        <w:spacing w:after="0" w:line="132" w:lineRule="exact"/>
        <w:rPr>
          <w:sz w:val="20"/>
          <w:szCs w:val="20"/>
          <w:color w:val="auto"/>
        </w:rPr>
      </w:pPr>
    </w:p>
    <w:p>
      <w:pPr>
        <w:jc w:val="center"/>
        <w:ind w:right="-259"/>
        <w:spacing w:after="0"/>
        <w:rPr>
          <w:sz w:val="20"/>
          <w:szCs w:val="20"/>
          <w:color w:val="auto"/>
        </w:rPr>
      </w:pPr>
      <w:r>
        <w:rPr>
          <w:rFonts w:ascii="Times New Roman" w:cs="Times New Roman" w:eastAsia="Times New Roman" w:hAnsi="Times New Roman"/>
          <w:sz w:val="28"/>
          <w:szCs w:val="28"/>
          <w:color w:val="auto"/>
        </w:rPr>
        <w:t>PV</w:t>
      </w:r>
      <w:r>
        <w:rPr>
          <w:rFonts w:ascii="Times New Roman" w:cs="Times New Roman" w:eastAsia="Times New Roman" w:hAnsi="Times New Roman"/>
          <w:sz w:val="36"/>
          <w:szCs w:val="36"/>
          <w:color w:val="auto"/>
          <w:vertAlign w:val="subscript"/>
        </w:rPr>
        <w:t>ост</w:t>
      </w:r>
      <w:r>
        <w:rPr>
          <w:rFonts w:ascii="Times New Roman" w:cs="Times New Roman" w:eastAsia="Times New Roman" w:hAnsi="Times New Roman"/>
          <w:sz w:val="28"/>
          <w:szCs w:val="28"/>
          <w:color w:val="auto"/>
        </w:rPr>
        <w:t xml:space="preserve"> = 219,072 + 331,066 = 550,14 тыс. руб.</w:t>
      </w:r>
    </w:p>
    <w:p>
      <w:pPr>
        <w:spacing w:after="0" w:line="360" w:lineRule="exact"/>
        <w:rPr>
          <w:sz w:val="20"/>
          <w:szCs w:val="20"/>
          <w:color w:val="auto"/>
        </w:rPr>
      </w:pPr>
    </w:p>
    <w:p>
      <w:pPr>
        <w:jc w:val="center"/>
        <w:ind w:right="-259"/>
        <w:spacing w:after="0"/>
        <w:rPr>
          <w:sz w:val="20"/>
          <w:szCs w:val="20"/>
          <w:color w:val="auto"/>
        </w:rPr>
      </w:pPr>
      <w:r>
        <w:rPr>
          <w:rFonts w:ascii="Times New Roman" w:cs="Times New Roman" w:eastAsia="Times New Roman" w:hAnsi="Times New Roman"/>
          <w:sz w:val="28"/>
          <w:szCs w:val="28"/>
          <w:color w:val="auto"/>
        </w:rPr>
        <w:t>ЗАДАЧИ ДЛЯ САМОСТОЯТЕЛЬНОГО РЕШЕНИЯ</w:t>
      </w:r>
    </w:p>
    <w:p>
      <w:pPr>
        <w:spacing w:after="0" w:line="322" w:lineRule="exact"/>
        <w:rPr>
          <w:sz w:val="20"/>
          <w:szCs w:val="20"/>
          <w:color w:val="auto"/>
        </w:rPr>
      </w:pPr>
    </w:p>
    <w:p>
      <w:pPr>
        <w:ind w:left="1260" w:hanging="289"/>
        <w:spacing w:after="0"/>
        <w:tabs>
          <w:tab w:leader="none" w:pos="1260" w:val="left"/>
        </w:tabs>
        <w:numPr>
          <w:ilvl w:val="1"/>
          <w:numId w:val="4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Определите норму дохода для инвестиций отечественного резидента</w:t>
      </w:r>
    </w:p>
    <w:p>
      <w:pPr>
        <w:jc w:val="both"/>
        <w:ind w:left="260" w:firstLine="2"/>
        <w:spacing w:after="0" w:line="242" w:lineRule="auto"/>
        <w:tabs>
          <w:tab w:leader="none" w:pos="552" w:val="left"/>
        </w:tabs>
        <w:numPr>
          <w:ilvl w:val="0"/>
          <w:numId w:val="4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покупку акций закрытой рознично-торговой компании с численностью занятых в 187 человек, если известно, что: доходность отечественных государственных облигаций в реальном выражении равна 3%, отечественный индекс инфляции - 10%; среднерыночная доходность на отечественном фондовом рынке - 19%; доходность государственных облигаций в США - 6%; среднерыночная доходность на фондовом рынке США - 9%; дополнительная премия за страновой риск - 5%; дополнительные премии за закрытость компании и за инвестиции в малый бизнес - на уровне международно принятых аналогичных премий; текущая реальная доходность с инвестированного в рассматриваемую компанию капитала за прошлые три года в среднем колебалась относительно своей средней величины на 10%; текущая реальная среднерыночная доходность на фондовом рынке в эти годы колебалась относительно своей средней величины на 15%.</w:t>
      </w:r>
    </w:p>
    <w:p>
      <w:pPr>
        <w:spacing w:after="0" w:line="286" w:lineRule="exact"/>
        <w:rPr>
          <w:rFonts w:ascii="Times New Roman" w:cs="Times New Roman" w:eastAsia="Times New Roman" w:hAnsi="Times New Roman"/>
          <w:sz w:val="28"/>
          <w:szCs w:val="28"/>
          <w:color w:val="auto"/>
        </w:rPr>
      </w:pPr>
    </w:p>
    <w:p>
      <w:pPr>
        <w:ind w:left="1260" w:hanging="289"/>
        <w:spacing w:after="0"/>
        <w:tabs>
          <w:tab w:leader="none" w:pos="1260" w:val="left"/>
        </w:tabs>
        <w:numPr>
          <w:ilvl w:val="1"/>
          <w:numId w:val="4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Чистая прибыль предприятия, намеревающегося сделать инвестиции</w:t>
      </w:r>
    </w:p>
    <w:p>
      <w:pPr>
        <w:jc w:val="both"/>
        <w:ind w:left="260" w:firstLine="2"/>
        <w:spacing w:after="0" w:line="246" w:lineRule="auto"/>
        <w:tabs>
          <w:tab w:leader="none" w:pos="474" w:val="left"/>
        </w:tabs>
        <w:numPr>
          <w:ilvl w:val="0"/>
          <w:numId w:val="4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освоение новой продукции, составила в год в реальном выражении 280 000 руб. Остаточная балансовая стоимость активов фирмы равняется 1 226 000 руб. Их первоначальная балансовая стоимость (активы приобретались год назад) равна 1 500 000 руб. Коэффициент «Цена/Прибыль» по акциям компаний, специализирующихся на осваиваемой предприятием продукции, составляет 3,7. Какую учитывающую риски бизнеса ставку дисконта можно</w:t>
      </w:r>
    </w:p>
    <w:p>
      <w:pPr>
        <w:sectPr>
          <w:pgSz w:w="11900" w:h="16840" w:orient="portrait"/>
          <w:cols w:equalWidth="0" w:num="1">
            <w:col w:w="9620"/>
          </w:cols>
          <w:pgMar w:left="1440" w:top="1112" w:right="844" w:bottom="163" w:gutter="0" w:footer="0" w:header="0"/>
        </w:sectPr>
      </w:pPr>
    </w:p>
    <w:p>
      <w:pPr>
        <w:spacing w:after="0" w:line="200" w:lineRule="exact"/>
        <w:rPr>
          <w:sz w:val="20"/>
          <w:szCs w:val="20"/>
          <w:color w:val="auto"/>
        </w:rPr>
      </w:pPr>
    </w:p>
    <w:p>
      <w:pPr>
        <w:spacing w:after="0" w:line="309" w:lineRule="exact"/>
        <w:rPr>
          <w:sz w:val="20"/>
          <w:szCs w:val="20"/>
          <w:color w:val="auto"/>
        </w:rPr>
      </w:pPr>
    </w:p>
    <w:p>
      <w:pPr>
        <w:ind w:left="9380"/>
        <w:spacing w:after="0"/>
        <w:rPr>
          <w:sz w:val="20"/>
          <w:szCs w:val="20"/>
          <w:color w:val="auto"/>
        </w:rPr>
      </w:pPr>
      <w:r>
        <w:rPr>
          <w:rFonts w:ascii="Times New Roman" w:cs="Times New Roman" w:eastAsia="Times New Roman" w:hAnsi="Times New Roman"/>
          <w:sz w:val="24"/>
          <w:szCs w:val="24"/>
          <w:color w:val="auto"/>
        </w:rPr>
        <w:t>15</w:t>
      </w:r>
    </w:p>
    <w:p>
      <w:pPr>
        <w:sectPr>
          <w:pgSz w:w="11900" w:h="16840" w:orient="portrait"/>
          <w:cols w:equalWidth="0" w:num="1">
            <w:col w:w="9620"/>
          </w:cols>
          <w:pgMar w:left="1440" w:top="1112" w:right="844" w:bottom="163" w:gutter="0" w:footer="0" w:header="0"/>
          <w:type w:val="continuous"/>
        </w:sectPr>
      </w:pPr>
    </w:p>
    <w:p>
      <w:pPr>
        <w:ind w:left="260"/>
        <w:spacing w:after="0" w:line="270" w:lineRule="auto"/>
        <w:rPr>
          <w:sz w:val="20"/>
          <w:szCs w:val="20"/>
          <w:color w:val="auto"/>
        </w:rPr>
      </w:pPr>
      <w:r>
        <w:rPr>
          <w:rFonts w:ascii="Times New Roman" w:cs="Times New Roman" w:eastAsia="Times New Roman" w:hAnsi="Times New Roman"/>
          <w:sz w:val="28"/>
          <w:szCs w:val="28"/>
          <w:color w:val="auto"/>
        </w:rPr>
        <w:t>применить для дисконтирования доходов, ожидаемых от выпуска и продаж новой продукции?</w:t>
      </w:r>
    </w:p>
    <w:p>
      <w:pPr>
        <w:spacing w:after="0" w:line="241" w:lineRule="exact"/>
        <w:rPr>
          <w:sz w:val="20"/>
          <w:szCs w:val="20"/>
          <w:color w:val="auto"/>
        </w:rPr>
      </w:pPr>
    </w:p>
    <w:p>
      <w:pPr>
        <w:ind w:left="1300" w:hanging="297"/>
        <w:spacing w:after="0"/>
        <w:tabs>
          <w:tab w:leader="none" w:pos="1300" w:val="left"/>
        </w:tabs>
        <w:numPr>
          <w:ilvl w:val="2"/>
          <w:numId w:val="4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Чистая прибыль предприятия, намеревающегося сделать инвестиции</w:t>
      </w:r>
    </w:p>
    <w:p>
      <w:pPr>
        <w:jc w:val="both"/>
        <w:ind w:left="300" w:hanging="6"/>
        <w:spacing w:after="0" w:line="246" w:lineRule="auto"/>
        <w:tabs>
          <w:tab w:leader="none" w:pos="545" w:val="left"/>
        </w:tabs>
        <w:numPr>
          <w:ilvl w:val="0"/>
          <w:numId w:val="4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расширение производства ранее освоенной продукции, составила в год в реальном выражении 340 000 руб. Остаточная балансовая стоимость активов фирмы равняется 1 300 000 руб. Коэффициент «Цена/Прибыль» по акциям предприятия составляет 4,5. Какую учитывающую риски бизнеса ставку дисконта можно применить для дисконтирования доходов, ожидаемых от расширения производства?</w:t>
      </w:r>
    </w:p>
    <w:p>
      <w:pPr>
        <w:spacing w:after="0" w:line="273" w:lineRule="exact"/>
        <w:rPr>
          <w:rFonts w:ascii="Times New Roman" w:cs="Times New Roman" w:eastAsia="Times New Roman" w:hAnsi="Times New Roman"/>
          <w:sz w:val="28"/>
          <w:szCs w:val="28"/>
          <w:color w:val="auto"/>
        </w:rPr>
      </w:pPr>
    </w:p>
    <w:p>
      <w:pPr>
        <w:jc w:val="both"/>
        <w:ind w:left="300" w:firstLine="703"/>
        <w:spacing w:after="0" w:line="242" w:lineRule="auto"/>
        <w:tabs>
          <w:tab w:leader="none" w:pos="1298" w:val="left"/>
        </w:tabs>
        <w:numPr>
          <w:ilvl w:val="2"/>
          <w:numId w:val="4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Определите норму дохода для инвестиций иностранного резидента в покупку акций закрытой оптово-торговой компании с численностью занятых 14 человек, если известно, что доходность отечественных государственных облигаций в реальном выражении равна 3%, отечественный индекс инфляции - 10%; среднерыночная доходность на отечественном фондовом рынке - 17%; доходность государственных облигаций в стране инвестора - 7%; среднерыночная доходность на фондовом рынке страны инвестора - 12%; дополнительная премия за страновой риск - 5%; дополнительные премии за закрытость компании и за инвестиции в малый бизнес - на уровне международно принятых аналогичных премий; текущая доходность с инвестированного в рассматриваемую компанию капитал за прошлые два года в среднем колебалась относительно своей средней величины на 10%; текущая среднерыночная доходность на фондовом рынке в эти годы колебалась относительно своей средней величины на 5%.</w:t>
      </w:r>
    </w:p>
    <w:p>
      <w:pPr>
        <w:spacing w:after="0" w:line="284" w:lineRule="exact"/>
        <w:rPr>
          <w:rFonts w:ascii="Times New Roman" w:cs="Times New Roman" w:eastAsia="Times New Roman" w:hAnsi="Times New Roman"/>
          <w:sz w:val="28"/>
          <w:szCs w:val="28"/>
          <w:color w:val="auto"/>
        </w:rPr>
      </w:pPr>
    </w:p>
    <w:p>
      <w:pPr>
        <w:jc w:val="both"/>
        <w:ind w:left="320" w:firstLine="712"/>
        <w:spacing w:after="0" w:line="239" w:lineRule="auto"/>
        <w:tabs>
          <w:tab w:leader="none" w:pos="1335" w:val="left"/>
        </w:tabs>
        <w:numPr>
          <w:ilvl w:val="3"/>
          <w:numId w:val="4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Промышленное предприятие выпускает три вида продукции (имеет три бизнес-линии): А, Б, В. Предприятие имеет временно избыточные активы стоимостью в 800 000 руб. (они не понадобятся для выпуска перечисленных видов продукции в течение одного года), которые можно сдать в аренду (что тогда составляет четвертую бизнес-линию фирмы). Рыночная стоимость имущества, которое не нужно для выпуска рассматриваемых видов продукции, составляет 770 000 руб.</w:t>
      </w:r>
    </w:p>
    <w:p>
      <w:pPr>
        <w:spacing w:after="0" w:line="9" w:lineRule="exact"/>
        <w:rPr>
          <w:rFonts w:ascii="Times New Roman" w:cs="Times New Roman" w:eastAsia="Times New Roman" w:hAnsi="Times New Roman"/>
          <w:sz w:val="28"/>
          <w:szCs w:val="28"/>
          <w:color w:val="auto"/>
        </w:rPr>
      </w:pPr>
    </w:p>
    <w:p>
      <w:pPr>
        <w:jc w:val="both"/>
        <w:ind w:left="300" w:right="40" w:firstLine="709"/>
        <w:spacing w:after="0" w:line="245"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Необходимо, без учета рисков бизнеса, определить минимальную обоснованную рыночную стоимость предприятия как действующего в расчете на:</w:t>
      </w:r>
    </w:p>
    <w:p>
      <w:pPr>
        <w:ind w:left="1320" w:hanging="350"/>
        <w:spacing w:after="0" w:line="239" w:lineRule="auto"/>
        <w:tabs>
          <w:tab w:leader="none" w:pos="1320" w:val="left"/>
        </w:tabs>
        <w:numPr>
          <w:ilvl w:val="1"/>
          <w:numId w:val="46"/>
        </w:numPr>
        <w:rPr>
          <w:rFonts w:ascii="Symbol" w:cs="Symbol" w:eastAsia="Symbol" w:hAnsi="Symbol"/>
          <w:sz w:val="28"/>
          <w:szCs w:val="28"/>
          <w:color w:val="auto"/>
        </w:rPr>
      </w:pPr>
      <w:r>
        <w:rPr>
          <w:rFonts w:ascii="Times New Roman" w:cs="Times New Roman" w:eastAsia="Times New Roman" w:hAnsi="Times New Roman"/>
          <w:sz w:val="28"/>
          <w:szCs w:val="28"/>
          <w:color w:val="auto"/>
        </w:rPr>
        <w:t>четыре года продолжения его работы;</w:t>
      </w:r>
    </w:p>
    <w:p>
      <w:pPr>
        <w:ind w:left="1320" w:hanging="350"/>
        <w:spacing w:after="0" w:line="239" w:lineRule="auto"/>
        <w:tabs>
          <w:tab w:leader="none" w:pos="1320" w:val="left"/>
        </w:tabs>
        <w:numPr>
          <w:ilvl w:val="1"/>
          <w:numId w:val="46"/>
        </w:numPr>
        <w:rPr>
          <w:rFonts w:ascii="Symbol" w:cs="Symbol" w:eastAsia="Symbol" w:hAnsi="Symbol"/>
          <w:sz w:val="28"/>
          <w:szCs w:val="28"/>
          <w:color w:val="auto"/>
        </w:rPr>
      </w:pPr>
      <w:r>
        <w:rPr>
          <w:rFonts w:ascii="Times New Roman" w:cs="Times New Roman" w:eastAsia="Times New Roman" w:hAnsi="Times New Roman"/>
          <w:sz w:val="28"/>
          <w:szCs w:val="28"/>
          <w:color w:val="auto"/>
        </w:rPr>
        <w:t>три года продолжения его работы;</w:t>
      </w:r>
    </w:p>
    <w:p>
      <w:pPr>
        <w:jc w:val="both"/>
        <w:ind w:left="1320" w:hanging="350"/>
        <w:spacing w:after="0" w:line="232" w:lineRule="auto"/>
        <w:tabs>
          <w:tab w:leader="none" w:pos="1320" w:val="left"/>
        </w:tabs>
        <w:numPr>
          <w:ilvl w:val="1"/>
          <w:numId w:val="46"/>
        </w:numPr>
        <w:rPr>
          <w:rFonts w:ascii="Symbol" w:cs="Symbol" w:eastAsia="Symbol" w:hAnsi="Symbol"/>
          <w:sz w:val="28"/>
          <w:szCs w:val="28"/>
          <w:color w:val="auto"/>
        </w:rPr>
      </w:pPr>
      <w:r>
        <w:rPr>
          <w:rFonts w:ascii="Times New Roman" w:cs="Times New Roman" w:eastAsia="Times New Roman" w:hAnsi="Times New Roman"/>
          <w:sz w:val="28"/>
          <w:szCs w:val="28"/>
          <w:color w:val="auto"/>
        </w:rPr>
        <w:t>на все время возможных продаж выпускаемой продукции (с учетом улучшения ее качества и капиталовложений в поддержание</w:t>
      </w:r>
    </w:p>
    <w:p>
      <w:pPr>
        <w:spacing w:after="0" w:line="1" w:lineRule="exact"/>
        <w:rPr>
          <w:sz w:val="20"/>
          <w:szCs w:val="20"/>
          <w:color w:val="auto"/>
        </w:rPr>
      </w:pPr>
    </w:p>
    <w:p>
      <w:pPr>
        <w:ind w:left="1320"/>
        <w:spacing w:after="0"/>
        <w:rPr>
          <w:sz w:val="20"/>
          <w:szCs w:val="20"/>
          <w:color w:val="auto"/>
        </w:rPr>
      </w:pPr>
      <w:r>
        <w:rPr>
          <w:rFonts w:ascii="Times New Roman" w:cs="Times New Roman" w:eastAsia="Times New Roman" w:hAnsi="Times New Roman"/>
          <w:sz w:val="28"/>
          <w:szCs w:val="28"/>
          <w:color w:val="auto"/>
        </w:rPr>
        <w:t>производственных мощностей).</w:t>
      </w:r>
    </w:p>
    <w:p>
      <w:pPr>
        <w:ind w:left="300" w:right="60" w:firstLine="709"/>
        <w:spacing w:after="0" w:line="247" w:lineRule="auto"/>
        <w:rPr>
          <w:sz w:val="20"/>
          <w:szCs w:val="20"/>
          <w:color w:val="auto"/>
        </w:rPr>
      </w:pPr>
      <w:r>
        <w:rPr>
          <w:rFonts w:ascii="Times New Roman" w:cs="Times New Roman" w:eastAsia="Times New Roman" w:hAnsi="Times New Roman"/>
          <w:sz w:val="28"/>
          <w:szCs w:val="28"/>
          <w:color w:val="auto"/>
        </w:rPr>
        <w:t>Ожидаемые чистые доходы от продаж продукции и аренды временно избыточных активов прогнозируются на уровне (в рублях):</w:t>
      </w:r>
    </w:p>
    <w:p>
      <w:pPr>
        <w:spacing w:after="0" w:line="2" w:lineRule="exact"/>
        <w:rPr>
          <w:sz w:val="20"/>
          <w:szCs w:val="20"/>
          <w:color w:val="auto"/>
        </w:rPr>
      </w:pPr>
    </w:p>
    <w:p>
      <w:pPr>
        <w:ind w:left="1320" w:hanging="350"/>
        <w:spacing w:after="0" w:line="255" w:lineRule="auto"/>
        <w:tabs>
          <w:tab w:leader="none" w:pos="1320" w:val="left"/>
        </w:tabs>
        <w:numPr>
          <w:ilvl w:val="0"/>
          <w:numId w:val="47"/>
        </w:numPr>
        <w:rPr>
          <w:rFonts w:ascii="Symbol" w:cs="Symbol" w:eastAsia="Symbol" w:hAnsi="Symbol"/>
          <w:sz w:val="28"/>
          <w:szCs w:val="28"/>
          <w:color w:val="auto"/>
        </w:rPr>
      </w:pPr>
      <w:r>
        <w:rPr>
          <w:rFonts w:ascii="Times New Roman" w:cs="Times New Roman" w:eastAsia="Times New Roman" w:hAnsi="Times New Roman"/>
          <w:sz w:val="28"/>
          <w:szCs w:val="28"/>
          <w:color w:val="auto"/>
        </w:rPr>
        <w:t>продукция А - через год - 100 000; через два года - 270 000; через три года - 110 000; через четыре года - 30 000;</w:t>
      </w:r>
    </w:p>
    <w:p>
      <w:pPr>
        <w:sectPr>
          <w:pgSz w:w="11900" w:h="16840" w:orient="portrait"/>
          <w:cols w:equalWidth="0" w:num="1">
            <w:col w:w="9620"/>
          </w:cols>
          <w:pgMar w:left="1440" w:top="1112" w:right="844" w:bottom="163" w:gutter="0" w:footer="0" w:header="0"/>
        </w:sectPr>
      </w:pPr>
    </w:p>
    <w:p>
      <w:pPr>
        <w:spacing w:after="0" w:line="91" w:lineRule="exact"/>
        <w:rPr>
          <w:sz w:val="20"/>
          <w:szCs w:val="20"/>
          <w:color w:val="auto"/>
        </w:rPr>
      </w:pPr>
    </w:p>
    <w:p>
      <w:pPr>
        <w:ind w:left="9380"/>
        <w:spacing w:after="0"/>
        <w:rPr>
          <w:sz w:val="20"/>
          <w:szCs w:val="20"/>
          <w:color w:val="auto"/>
        </w:rPr>
      </w:pPr>
      <w:r>
        <w:rPr>
          <w:rFonts w:ascii="Times New Roman" w:cs="Times New Roman" w:eastAsia="Times New Roman" w:hAnsi="Times New Roman"/>
          <w:sz w:val="24"/>
          <w:szCs w:val="24"/>
          <w:color w:val="auto"/>
        </w:rPr>
        <w:t>16</w:t>
      </w:r>
    </w:p>
    <w:p>
      <w:pPr>
        <w:sectPr>
          <w:pgSz w:w="11900" w:h="16840" w:orient="portrait"/>
          <w:cols w:equalWidth="0" w:num="1">
            <w:col w:w="9620"/>
          </w:cols>
          <w:pgMar w:left="1440" w:top="1112" w:right="844" w:bottom="163" w:gutter="0" w:footer="0" w:header="0"/>
          <w:type w:val="continuous"/>
        </w:sectPr>
      </w:pPr>
    </w:p>
    <w:p>
      <w:pPr>
        <w:ind w:left="1320" w:hanging="350"/>
        <w:spacing w:after="0"/>
        <w:tabs>
          <w:tab w:leader="none" w:pos="1320" w:val="left"/>
        </w:tabs>
        <w:numPr>
          <w:ilvl w:val="0"/>
          <w:numId w:val="48"/>
        </w:numPr>
        <w:rPr>
          <w:rFonts w:ascii="Symbol" w:cs="Symbol" w:eastAsia="Symbol" w:hAnsi="Symbol"/>
          <w:sz w:val="28"/>
          <w:szCs w:val="28"/>
          <w:color w:val="auto"/>
        </w:rPr>
      </w:pPr>
      <w:r>
        <w:rPr>
          <w:rFonts w:ascii="Times New Roman" w:cs="Times New Roman" w:eastAsia="Times New Roman" w:hAnsi="Times New Roman"/>
          <w:sz w:val="28"/>
          <w:szCs w:val="28"/>
          <w:color w:val="auto"/>
        </w:rPr>
        <w:t>продукция Б - через год - 40 000; через 2 года - 130 000; через 3 года</w:t>
      </w:r>
    </w:p>
    <w:p>
      <w:pPr>
        <w:ind w:left="1320"/>
        <w:spacing w:after="0"/>
        <w:rPr>
          <w:rFonts w:ascii="Symbol" w:cs="Symbol" w:eastAsia="Symbol" w:hAnsi="Symbol"/>
          <w:sz w:val="28"/>
          <w:szCs w:val="28"/>
          <w:color w:val="auto"/>
        </w:rPr>
      </w:pPr>
      <w:r>
        <w:rPr>
          <w:rFonts w:ascii="Times New Roman" w:cs="Times New Roman" w:eastAsia="Times New Roman" w:hAnsi="Times New Roman"/>
          <w:sz w:val="28"/>
          <w:szCs w:val="28"/>
          <w:color w:val="auto"/>
        </w:rPr>
        <w:t>- 550 000; через 4 года - 630 000; через пять лет - 140 000;</w:t>
      </w:r>
    </w:p>
    <w:p>
      <w:pPr>
        <w:spacing w:after="0" w:line="20" w:lineRule="exact"/>
        <w:rPr>
          <w:rFonts w:ascii="Symbol" w:cs="Symbol" w:eastAsia="Symbol" w:hAnsi="Symbol"/>
          <w:sz w:val="28"/>
          <w:szCs w:val="28"/>
          <w:color w:val="auto"/>
        </w:rPr>
      </w:pPr>
    </w:p>
    <w:p>
      <w:pPr>
        <w:ind w:left="1320" w:hanging="350"/>
        <w:spacing w:after="0" w:line="239" w:lineRule="auto"/>
        <w:tabs>
          <w:tab w:leader="none" w:pos="1320" w:val="left"/>
        </w:tabs>
        <w:numPr>
          <w:ilvl w:val="0"/>
          <w:numId w:val="48"/>
        </w:numPr>
        <w:rPr>
          <w:rFonts w:ascii="Symbol" w:cs="Symbol" w:eastAsia="Symbol" w:hAnsi="Symbol"/>
          <w:sz w:val="28"/>
          <w:szCs w:val="28"/>
          <w:color w:val="auto"/>
        </w:rPr>
      </w:pPr>
      <w:r>
        <w:rPr>
          <w:rFonts w:ascii="Times New Roman" w:cs="Times New Roman" w:eastAsia="Times New Roman" w:hAnsi="Times New Roman"/>
          <w:sz w:val="28"/>
          <w:szCs w:val="28"/>
          <w:color w:val="auto"/>
        </w:rPr>
        <w:t>продукция В - через год - 95 000; через два года - 25 000;</w:t>
      </w:r>
    </w:p>
    <w:p>
      <w:pPr>
        <w:ind w:left="1320" w:hanging="350"/>
        <w:spacing w:after="0" w:line="225" w:lineRule="auto"/>
        <w:tabs>
          <w:tab w:leader="none" w:pos="1320" w:val="left"/>
        </w:tabs>
        <w:numPr>
          <w:ilvl w:val="0"/>
          <w:numId w:val="48"/>
        </w:numPr>
        <w:rPr>
          <w:rFonts w:ascii="Symbol" w:cs="Symbol" w:eastAsia="Symbol" w:hAnsi="Symbol"/>
          <w:sz w:val="28"/>
          <w:szCs w:val="28"/>
          <w:color w:val="auto"/>
        </w:rPr>
      </w:pPr>
      <w:r>
        <w:rPr>
          <w:rFonts w:ascii="Times New Roman" w:cs="Times New Roman" w:eastAsia="Times New Roman" w:hAnsi="Times New Roman"/>
          <w:sz w:val="28"/>
          <w:szCs w:val="28"/>
          <w:color w:val="auto"/>
        </w:rPr>
        <w:t>поступления от аренды временно избыточных активов через год –</w:t>
      </w:r>
    </w:p>
    <w:p>
      <w:pPr>
        <w:ind w:left="1320"/>
        <w:spacing w:after="0"/>
        <w:rPr>
          <w:rFonts w:ascii="Symbol" w:cs="Symbol" w:eastAsia="Symbol" w:hAnsi="Symbol"/>
          <w:sz w:val="28"/>
          <w:szCs w:val="28"/>
          <w:color w:val="auto"/>
        </w:rPr>
      </w:pPr>
      <w:r>
        <w:rPr>
          <w:rFonts w:ascii="Times New Roman" w:cs="Times New Roman" w:eastAsia="Times New Roman" w:hAnsi="Times New Roman"/>
          <w:sz w:val="28"/>
          <w:szCs w:val="28"/>
          <w:color w:val="auto"/>
        </w:rPr>
        <w:t>70 000.</w:t>
      </w:r>
    </w:p>
    <w:p>
      <w:pPr>
        <w:spacing w:after="0" w:line="1" w:lineRule="exact"/>
        <w:rPr>
          <w:sz w:val="20"/>
          <w:szCs w:val="20"/>
          <w:color w:val="auto"/>
        </w:rPr>
      </w:pPr>
    </w:p>
    <w:p>
      <w:pPr>
        <w:jc w:val="both"/>
        <w:ind w:left="260" w:right="80" w:firstLine="709"/>
        <w:spacing w:after="0" w:line="255" w:lineRule="auto"/>
        <w:rPr>
          <w:sz w:val="20"/>
          <w:szCs w:val="20"/>
          <w:color w:val="auto"/>
        </w:rPr>
      </w:pPr>
      <w:r>
        <w:rPr>
          <w:rFonts w:ascii="Times New Roman" w:cs="Times New Roman" w:eastAsia="Times New Roman" w:hAnsi="Times New Roman"/>
          <w:sz w:val="28"/>
          <w:szCs w:val="28"/>
          <w:color w:val="auto"/>
        </w:rPr>
        <w:t>Прогнозируются следующие средние ожидаемые (в год) доходности государственных (рублевых) облигаций : на два года - 20%; на три года – 18%; на четыре года – 15%; на пять лет - 13%.</w:t>
      </w:r>
    </w:p>
    <w:p>
      <w:pPr>
        <w:spacing w:after="0" w:line="261" w:lineRule="exact"/>
        <w:rPr>
          <w:sz w:val="20"/>
          <w:szCs w:val="20"/>
          <w:color w:val="auto"/>
        </w:rPr>
      </w:pPr>
    </w:p>
    <w:p>
      <w:pPr>
        <w:ind w:left="340" w:firstLine="699"/>
        <w:spacing w:after="0" w:line="247" w:lineRule="auto"/>
        <w:tabs>
          <w:tab w:leader="none" w:pos="1397" w:val="left"/>
        </w:tabs>
        <w:numPr>
          <w:ilvl w:val="1"/>
          <w:numId w:val="4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Оценить долгосрочный бизнес, способный приносить следующие денежные потоки:</w:t>
      </w:r>
    </w:p>
    <w:p>
      <w:pPr>
        <w:spacing w:after="0" w:line="2" w:lineRule="exact"/>
        <w:rPr>
          <w:rFonts w:ascii="Times New Roman" w:cs="Times New Roman" w:eastAsia="Times New Roman" w:hAnsi="Times New Roman"/>
          <w:sz w:val="28"/>
          <w:szCs w:val="28"/>
          <w:color w:val="auto"/>
        </w:rPr>
      </w:pPr>
    </w:p>
    <w:p>
      <w:pPr>
        <w:ind w:left="1400" w:hanging="360"/>
        <w:spacing w:after="0" w:line="239" w:lineRule="auto"/>
        <w:rPr>
          <w:rFonts w:ascii="Times New Roman" w:cs="Times New Roman" w:eastAsia="Times New Roman" w:hAnsi="Times New Roman"/>
          <w:sz w:val="28"/>
          <w:szCs w:val="28"/>
          <w:color w:val="auto"/>
        </w:rPr>
      </w:pPr>
      <w:r>
        <w:rPr>
          <w:rFonts w:ascii="Symbol" w:cs="Symbol" w:eastAsia="Symbol" w:hAnsi="Symbol"/>
          <w:sz w:val="28"/>
          <w:szCs w:val="28"/>
          <w:color w:val="auto"/>
        </w:rPr>
        <w:t></w:t>
      </w:r>
      <w:r>
        <w:rPr>
          <w:rFonts w:ascii="Times New Roman" w:cs="Times New Roman" w:eastAsia="Times New Roman" w:hAnsi="Times New Roman"/>
          <w:sz w:val="28"/>
          <w:szCs w:val="28"/>
          <w:color w:val="auto"/>
        </w:rPr>
        <w:t xml:space="preserve"> в ближайшие 13 месяцев с надежностью (по месяцам, в денежных единицах): 60; 65; 70; 85; 90; 90; 90; 90; 90; 80; 80; 55; 55;</w:t>
      </w:r>
    </w:p>
    <w:p>
      <w:pPr>
        <w:spacing w:after="0" w:line="1" w:lineRule="exact"/>
        <w:rPr>
          <w:rFonts w:ascii="Times New Roman" w:cs="Times New Roman" w:eastAsia="Times New Roman" w:hAnsi="Times New Roman"/>
          <w:sz w:val="28"/>
          <w:szCs w:val="28"/>
          <w:color w:val="auto"/>
        </w:rPr>
      </w:pPr>
    </w:p>
    <w:p>
      <w:pPr>
        <w:jc w:val="right"/>
        <w:ind w:left="1400" w:hanging="360"/>
        <w:spacing w:after="0" w:line="232" w:lineRule="auto"/>
        <w:rPr>
          <w:rFonts w:ascii="Times New Roman" w:cs="Times New Roman" w:eastAsia="Times New Roman" w:hAnsi="Times New Roman"/>
          <w:sz w:val="28"/>
          <w:szCs w:val="28"/>
          <w:color w:val="auto"/>
        </w:rPr>
      </w:pPr>
      <w:r>
        <w:rPr>
          <w:rFonts w:ascii="Symbol" w:cs="Symbol" w:eastAsia="Symbol" w:hAnsi="Symbol"/>
          <w:sz w:val="28"/>
          <w:szCs w:val="28"/>
          <w:color w:val="auto"/>
        </w:rPr>
        <w:t></w:t>
      </w:r>
      <w:r>
        <w:rPr>
          <w:rFonts w:ascii="Times New Roman" w:cs="Times New Roman" w:eastAsia="Times New Roman" w:hAnsi="Times New Roman"/>
          <w:sz w:val="28"/>
          <w:szCs w:val="28"/>
          <w:color w:val="auto"/>
        </w:rPr>
        <w:t xml:space="preserve">  в дальнейшем (точно прогнозировать невозможно) - примерно по столько же в течение неопределенно длительного периода времени.</w:t>
      </w:r>
    </w:p>
    <w:p>
      <w:pPr>
        <w:ind w:left="320" w:firstLine="709"/>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Учитывающая риски бизнеса рекомендуемая ставка дисконта (получена согласно модели оценки капитальных активов) - 12% годовых.</w:t>
      </w:r>
    </w:p>
    <w:p>
      <w:pPr>
        <w:jc w:val="both"/>
        <w:ind w:left="320" w:right="20" w:firstLine="709"/>
        <w:spacing w:after="0" w:line="255"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Оценку произвести применительно к двум предположениям: 1) бизнес удастся вести 13 месяцев; 2) бизнес удастся осуществлять в течение неопределенно длительного периода времени.</w:t>
      </w:r>
    </w:p>
    <w:p>
      <w:pPr>
        <w:spacing w:after="0" w:line="261" w:lineRule="exact"/>
        <w:rPr>
          <w:rFonts w:ascii="Times New Roman" w:cs="Times New Roman" w:eastAsia="Times New Roman" w:hAnsi="Times New Roman"/>
          <w:sz w:val="28"/>
          <w:szCs w:val="28"/>
          <w:color w:val="auto"/>
        </w:rPr>
      </w:pPr>
    </w:p>
    <w:p>
      <w:pPr>
        <w:jc w:val="both"/>
        <w:ind w:left="300" w:firstLine="710"/>
        <w:spacing w:after="0"/>
        <w:tabs>
          <w:tab w:leader="none" w:pos="1303" w:val="left"/>
        </w:tabs>
        <w:numPr>
          <w:ilvl w:val="0"/>
          <w:numId w:val="5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Рассчитать для предприятия показатель денежного потока на основе данных, приведенных из отчетов о прибылях и убытках, движении средств, а также с учетом изменения баланса предприятия (в рублях).</w:t>
      </w:r>
    </w:p>
    <w:p>
      <w:pPr>
        <w:ind w:left="98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Поступления по контрактам на реализацию продукции:</w:t>
      </w:r>
    </w:p>
    <w:tbl>
      <w:tblPr>
        <w:tblLayout w:type="fixed"/>
        <w:tblInd w:w="980" w:type="dxa"/>
        <w:tblCellMar>
          <w:top w:w="0" w:type="dxa"/>
          <w:left w:w="0" w:type="dxa"/>
          <w:bottom w:w="0" w:type="dxa"/>
          <w:right w:w="0" w:type="dxa"/>
        </w:tblCellMar>
      </w:tblPr>
      <w:tr>
        <w:trPr>
          <w:trHeight w:val="322"/>
        </w:trPr>
        <w:tc>
          <w:tcPr>
            <w:tcW w:w="5300" w:type="dxa"/>
            <w:vAlign w:val="bottom"/>
          </w:tcPr>
          <w:p>
            <w:pPr>
              <w:spacing w:after="0"/>
              <w:rPr>
                <w:sz w:val="20"/>
                <w:szCs w:val="20"/>
                <w:color w:val="auto"/>
              </w:rPr>
            </w:pPr>
            <w:r>
              <w:rPr>
                <w:rFonts w:ascii="Times New Roman" w:cs="Times New Roman" w:eastAsia="Times New Roman" w:hAnsi="Times New Roman"/>
                <w:sz w:val="28"/>
                <w:szCs w:val="28"/>
                <w:color w:val="auto"/>
              </w:rPr>
              <w:t>Реализация с оплатой по факту поставки</w:t>
            </w:r>
          </w:p>
        </w:tc>
        <w:tc>
          <w:tcPr>
            <w:tcW w:w="1260" w:type="dxa"/>
            <w:vAlign w:val="bottom"/>
          </w:tcPr>
          <w:p>
            <w:pPr>
              <w:ind w:left="360"/>
              <w:spacing w:after="0"/>
              <w:rPr>
                <w:sz w:val="20"/>
                <w:szCs w:val="20"/>
                <w:color w:val="auto"/>
              </w:rPr>
            </w:pPr>
            <w:r>
              <w:rPr>
                <w:rFonts w:ascii="Times New Roman" w:cs="Times New Roman" w:eastAsia="Times New Roman" w:hAnsi="Times New Roman"/>
                <w:sz w:val="28"/>
                <w:szCs w:val="28"/>
                <w:color w:val="auto"/>
                <w:w w:val="96"/>
              </w:rPr>
              <w:t>400 000</w:t>
            </w:r>
          </w:p>
        </w:tc>
      </w:tr>
      <w:tr>
        <w:trPr>
          <w:trHeight w:val="322"/>
        </w:trPr>
        <w:tc>
          <w:tcPr>
            <w:tcW w:w="5300" w:type="dxa"/>
            <w:vAlign w:val="bottom"/>
          </w:tcPr>
          <w:p>
            <w:pPr>
              <w:spacing w:after="0"/>
              <w:rPr>
                <w:sz w:val="20"/>
                <w:szCs w:val="20"/>
                <w:color w:val="auto"/>
              </w:rPr>
            </w:pPr>
            <w:r>
              <w:rPr>
                <w:rFonts w:ascii="Times New Roman" w:cs="Times New Roman" w:eastAsia="Times New Roman" w:hAnsi="Times New Roman"/>
                <w:sz w:val="28"/>
                <w:szCs w:val="28"/>
                <w:color w:val="auto"/>
              </w:rPr>
              <w:t>Реализация с оплатой в рассрочку</w:t>
            </w:r>
          </w:p>
        </w:tc>
        <w:tc>
          <w:tcPr>
            <w:tcW w:w="1260" w:type="dxa"/>
            <w:vAlign w:val="bottom"/>
          </w:tcPr>
          <w:p>
            <w:pPr>
              <w:ind w:left="360"/>
              <w:spacing w:after="0"/>
              <w:rPr>
                <w:sz w:val="20"/>
                <w:szCs w:val="20"/>
                <w:color w:val="auto"/>
              </w:rPr>
            </w:pPr>
            <w:r>
              <w:rPr>
                <w:rFonts w:ascii="Times New Roman" w:cs="Times New Roman" w:eastAsia="Times New Roman" w:hAnsi="Times New Roman"/>
                <w:sz w:val="28"/>
                <w:szCs w:val="28"/>
                <w:color w:val="auto"/>
                <w:w w:val="96"/>
              </w:rPr>
              <w:t>300 000</w:t>
            </w:r>
          </w:p>
        </w:tc>
      </w:tr>
      <w:tr>
        <w:trPr>
          <w:trHeight w:val="322"/>
        </w:trPr>
        <w:tc>
          <w:tcPr>
            <w:tcW w:w="5300" w:type="dxa"/>
            <w:vAlign w:val="bottom"/>
          </w:tcPr>
          <w:p>
            <w:pPr>
              <w:spacing w:after="0"/>
              <w:rPr>
                <w:sz w:val="20"/>
                <w:szCs w:val="20"/>
                <w:color w:val="auto"/>
              </w:rPr>
            </w:pPr>
            <w:r>
              <w:rPr>
                <w:rFonts w:ascii="Times New Roman" w:cs="Times New Roman" w:eastAsia="Times New Roman" w:hAnsi="Times New Roman"/>
                <w:sz w:val="28"/>
                <w:szCs w:val="28"/>
                <w:color w:val="auto"/>
              </w:rPr>
              <w:t>Авансы и предоплата</w:t>
            </w:r>
          </w:p>
        </w:tc>
        <w:tc>
          <w:tcPr>
            <w:tcW w:w="1260" w:type="dxa"/>
            <w:vAlign w:val="bottom"/>
          </w:tcPr>
          <w:p>
            <w:pPr>
              <w:ind w:left="360"/>
              <w:spacing w:after="0"/>
              <w:rPr>
                <w:sz w:val="20"/>
                <w:szCs w:val="20"/>
                <w:color w:val="auto"/>
              </w:rPr>
            </w:pPr>
            <w:r>
              <w:rPr>
                <w:rFonts w:ascii="Times New Roman" w:cs="Times New Roman" w:eastAsia="Times New Roman" w:hAnsi="Times New Roman"/>
                <w:sz w:val="28"/>
                <w:szCs w:val="28"/>
                <w:color w:val="auto"/>
              </w:rPr>
              <w:t>25 000</w:t>
            </w:r>
          </w:p>
        </w:tc>
      </w:tr>
      <w:tr>
        <w:trPr>
          <w:trHeight w:val="323"/>
        </w:trPr>
        <w:tc>
          <w:tcPr>
            <w:tcW w:w="5300" w:type="dxa"/>
            <w:vAlign w:val="bottom"/>
          </w:tcPr>
          <w:p>
            <w:pPr>
              <w:spacing w:after="0"/>
              <w:rPr>
                <w:sz w:val="20"/>
                <w:szCs w:val="20"/>
                <w:color w:val="auto"/>
              </w:rPr>
            </w:pPr>
            <w:r>
              <w:rPr>
                <w:rFonts w:ascii="Times New Roman" w:cs="Times New Roman" w:eastAsia="Times New Roman" w:hAnsi="Times New Roman"/>
                <w:sz w:val="28"/>
                <w:szCs w:val="28"/>
                <w:color w:val="auto"/>
              </w:rPr>
              <w:t>Итого поступления:</w:t>
            </w:r>
          </w:p>
        </w:tc>
        <w:tc>
          <w:tcPr>
            <w:tcW w:w="1260" w:type="dxa"/>
            <w:vAlign w:val="bottom"/>
          </w:tcPr>
          <w:p>
            <w:pPr>
              <w:spacing w:after="0"/>
              <w:rPr>
                <w:sz w:val="24"/>
                <w:szCs w:val="24"/>
                <w:color w:val="auto"/>
              </w:rPr>
            </w:pPr>
          </w:p>
        </w:tc>
      </w:tr>
      <w:tr>
        <w:trPr>
          <w:trHeight w:val="322"/>
        </w:trPr>
        <w:tc>
          <w:tcPr>
            <w:tcW w:w="5300" w:type="dxa"/>
            <w:vAlign w:val="bottom"/>
          </w:tcPr>
          <w:p>
            <w:pPr>
              <w:spacing w:after="0"/>
              <w:rPr>
                <w:sz w:val="20"/>
                <w:szCs w:val="20"/>
                <w:color w:val="auto"/>
              </w:rPr>
            </w:pPr>
            <w:r>
              <w:rPr>
                <w:rFonts w:ascii="Times New Roman" w:cs="Times New Roman" w:eastAsia="Times New Roman" w:hAnsi="Times New Roman"/>
                <w:sz w:val="28"/>
                <w:szCs w:val="28"/>
                <w:color w:val="auto"/>
              </w:rPr>
              <w:t>по контрактам на реализацию продукции</w:t>
            </w:r>
          </w:p>
        </w:tc>
        <w:tc>
          <w:tcPr>
            <w:tcW w:w="1260" w:type="dxa"/>
            <w:vAlign w:val="bottom"/>
          </w:tcPr>
          <w:p>
            <w:pPr>
              <w:ind w:left="360"/>
              <w:spacing w:after="0"/>
              <w:rPr>
                <w:sz w:val="20"/>
                <w:szCs w:val="20"/>
                <w:color w:val="auto"/>
              </w:rPr>
            </w:pPr>
            <w:r>
              <w:rPr>
                <w:rFonts w:ascii="Times New Roman" w:cs="Times New Roman" w:eastAsia="Times New Roman" w:hAnsi="Times New Roman"/>
                <w:sz w:val="28"/>
                <w:szCs w:val="28"/>
                <w:color w:val="auto"/>
                <w:w w:val="96"/>
              </w:rPr>
              <w:t>925 000</w:t>
            </w:r>
          </w:p>
        </w:tc>
      </w:tr>
      <w:tr>
        <w:trPr>
          <w:trHeight w:val="322"/>
        </w:trPr>
        <w:tc>
          <w:tcPr>
            <w:tcW w:w="5300" w:type="dxa"/>
            <w:vAlign w:val="bottom"/>
          </w:tcPr>
          <w:p>
            <w:pPr>
              <w:spacing w:after="0"/>
              <w:rPr>
                <w:sz w:val="20"/>
                <w:szCs w:val="20"/>
                <w:color w:val="auto"/>
              </w:rPr>
            </w:pPr>
            <w:r>
              <w:rPr>
                <w:rFonts w:ascii="Times New Roman" w:cs="Times New Roman" w:eastAsia="Times New Roman" w:hAnsi="Times New Roman"/>
                <w:sz w:val="28"/>
                <w:szCs w:val="28"/>
                <w:color w:val="auto"/>
              </w:rPr>
              <w:t>чистая прибыль</w:t>
            </w:r>
          </w:p>
        </w:tc>
        <w:tc>
          <w:tcPr>
            <w:tcW w:w="1260" w:type="dxa"/>
            <w:vAlign w:val="bottom"/>
          </w:tcPr>
          <w:p>
            <w:pPr>
              <w:ind w:left="360"/>
              <w:spacing w:after="0"/>
              <w:rPr>
                <w:sz w:val="20"/>
                <w:szCs w:val="20"/>
                <w:color w:val="auto"/>
              </w:rPr>
            </w:pPr>
            <w:r>
              <w:rPr>
                <w:rFonts w:ascii="Times New Roman" w:cs="Times New Roman" w:eastAsia="Times New Roman" w:hAnsi="Times New Roman"/>
                <w:sz w:val="28"/>
                <w:szCs w:val="28"/>
                <w:color w:val="auto"/>
                <w:w w:val="96"/>
              </w:rPr>
              <w:t>105 000</w:t>
            </w:r>
          </w:p>
        </w:tc>
      </w:tr>
      <w:tr>
        <w:trPr>
          <w:trHeight w:val="323"/>
        </w:trPr>
        <w:tc>
          <w:tcPr>
            <w:tcW w:w="5300" w:type="dxa"/>
            <w:vAlign w:val="bottom"/>
          </w:tcPr>
          <w:p>
            <w:pPr>
              <w:spacing w:after="0"/>
              <w:rPr>
                <w:sz w:val="20"/>
                <w:szCs w:val="20"/>
                <w:color w:val="auto"/>
              </w:rPr>
            </w:pPr>
            <w:r>
              <w:rPr>
                <w:rFonts w:ascii="Times New Roman" w:cs="Times New Roman" w:eastAsia="Times New Roman" w:hAnsi="Times New Roman"/>
                <w:sz w:val="28"/>
                <w:szCs w:val="28"/>
                <w:color w:val="auto"/>
              </w:rPr>
              <w:t>себестоимость реализованной продукции</w:t>
            </w:r>
          </w:p>
        </w:tc>
        <w:tc>
          <w:tcPr>
            <w:tcW w:w="1260" w:type="dxa"/>
            <w:vAlign w:val="bottom"/>
          </w:tcPr>
          <w:p>
            <w:pPr>
              <w:ind w:left="360"/>
              <w:spacing w:after="0"/>
              <w:rPr>
                <w:sz w:val="20"/>
                <w:szCs w:val="20"/>
                <w:color w:val="auto"/>
              </w:rPr>
            </w:pPr>
            <w:r>
              <w:rPr>
                <w:rFonts w:ascii="Times New Roman" w:cs="Times New Roman" w:eastAsia="Times New Roman" w:hAnsi="Times New Roman"/>
                <w:sz w:val="28"/>
                <w:szCs w:val="28"/>
                <w:color w:val="auto"/>
                <w:w w:val="96"/>
              </w:rPr>
              <w:t>520 000</w:t>
            </w:r>
          </w:p>
        </w:tc>
      </w:tr>
      <w:tr>
        <w:trPr>
          <w:trHeight w:val="322"/>
        </w:trPr>
        <w:tc>
          <w:tcPr>
            <w:tcW w:w="5300" w:type="dxa"/>
            <w:vAlign w:val="bottom"/>
          </w:tcPr>
          <w:p>
            <w:pPr>
              <w:spacing w:after="0"/>
              <w:rPr>
                <w:sz w:val="20"/>
                <w:szCs w:val="20"/>
                <w:color w:val="auto"/>
              </w:rPr>
            </w:pPr>
            <w:r>
              <w:rPr>
                <w:rFonts w:ascii="Times New Roman" w:cs="Times New Roman" w:eastAsia="Times New Roman" w:hAnsi="Times New Roman"/>
                <w:sz w:val="28"/>
                <w:szCs w:val="28"/>
                <w:color w:val="auto"/>
              </w:rPr>
              <w:t>накладные расходы</w:t>
            </w:r>
          </w:p>
        </w:tc>
        <w:tc>
          <w:tcPr>
            <w:tcW w:w="1260" w:type="dxa"/>
            <w:vAlign w:val="bottom"/>
          </w:tcPr>
          <w:p>
            <w:pPr>
              <w:ind w:left="360"/>
              <w:spacing w:after="0"/>
              <w:rPr>
                <w:sz w:val="20"/>
                <w:szCs w:val="20"/>
                <w:color w:val="auto"/>
              </w:rPr>
            </w:pPr>
            <w:r>
              <w:rPr>
                <w:rFonts w:ascii="Times New Roman" w:cs="Times New Roman" w:eastAsia="Times New Roman" w:hAnsi="Times New Roman"/>
                <w:sz w:val="28"/>
                <w:szCs w:val="28"/>
                <w:color w:val="auto"/>
                <w:w w:val="96"/>
              </w:rPr>
              <w:t>155 000</w:t>
            </w:r>
          </w:p>
        </w:tc>
      </w:tr>
      <w:tr>
        <w:trPr>
          <w:trHeight w:val="322"/>
        </w:trPr>
        <w:tc>
          <w:tcPr>
            <w:tcW w:w="5300" w:type="dxa"/>
            <w:vAlign w:val="bottom"/>
          </w:tcPr>
          <w:p>
            <w:pPr>
              <w:spacing w:after="0"/>
              <w:rPr>
                <w:sz w:val="20"/>
                <w:szCs w:val="20"/>
                <w:color w:val="auto"/>
              </w:rPr>
            </w:pPr>
            <w:r>
              <w:rPr>
                <w:rFonts w:ascii="Times New Roman" w:cs="Times New Roman" w:eastAsia="Times New Roman" w:hAnsi="Times New Roman"/>
                <w:sz w:val="28"/>
                <w:szCs w:val="28"/>
                <w:color w:val="auto"/>
              </w:rPr>
              <w:t>износ</w:t>
            </w:r>
          </w:p>
        </w:tc>
        <w:tc>
          <w:tcPr>
            <w:tcW w:w="1260" w:type="dxa"/>
            <w:vAlign w:val="bottom"/>
          </w:tcPr>
          <w:p>
            <w:pPr>
              <w:ind w:left="360"/>
              <w:spacing w:after="0"/>
              <w:rPr>
                <w:sz w:val="20"/>
                <w:szCs w:val="20"/>
                <w:color w:val="auto"/>
              </w:rPr>
            </w:pPr>
            <w:r>
              <w:rPr>
                <w:rFonts w:ascii="Times New Roman" w:cs="Times New Roman" w:eastAsia="Times New Roman" w:hAnsi="Times New Roman"/>
                <w:sz w:val="28"/>
                <w:szCs w:val="28"/>
                <w:color w:val="auto"/>
              </w:rPr>
              <w:t>180000</w:t>
            </w:r>
          </w:p>
        </w:tc>
      </w:tr>
      <w:tr>
        <w:trPr>
          <w:trHeight w:val="323"/>
        </w:trPr>
        <w:tc>
          <w:tcPr>
            <w:tcW w:w="5300" w:type="dxa"/>
            <w:vAlign w:val="bottom"/>
          </w:tcPr>
          <w:p>
            <w:pPr>
              <w:spacing w:after="0"/>
              <w:rPr>
                <w:sz w:val="20"/>
                <w:szCs w:val="20"/>
                <w:color w:val="auto"/>
              </w:rPr>
            </w:pPr>
            <w:r>
              <w:rPr>
                <w:rFonts w:ascii="Times New Roman" w:cs="Times New Roman" w:eastAsia="Times New Roman" w:hAnsi="Times New Roman"/>
                <w:sz w:val="28"/>
                <w:szCs w:val="28"/>
                <w:color w:val="auto"/>
              </w:rPr>
              <w:t>налоги</w:t>
            </w:r>
          </w:p>
        </w:tc>
        <w:tc>
          <w:tcPr>
            <w:tcW w:w="1260" w:type="dxa"/>
            <w:vAlign w:val="bottom"/>
          </w:tcPr>
          <w:p>
            <w:pPr>
              <w:ind w:left="360"/>
              <w:spacing w:after="0"/>
              <w:rPr>
                <w:sz w:val="20"/>
                <w:szCs w:val="20"/>
                <w:color w:val="auto"/>
              </w:rPr>
            </w:pPr>
            <w:r>
              <w:rPr>
                <w:rFonts w:ascii="Times New Roman" w:cs="Times New Roman" w:eastAsia="Times New Roman" w:hAnsi="Times New Roman"/>
                <w:sz w:val="28"/>
                <w:szCs w:val="28"/>
                <w:color w:val="auto"/>
                <w:w w:val="96"/>
              </w:rPr>
              <w:t>255 000</w:t>
            </w:r>
          </w:p>
        </w:tc>
      </w:tr>
      <w:tr>
        <w:trPr>
          <w:trHeight w:val="322"/>
        </w:trPr>
        <w:tc>
          <w:tcPr>
            <w:tcW w:w="5300" w:type="dxa"/>
            <w:vAlign w:val="bottom"/>
          </w:tcPr>
          <w:p>
            <w:pPr>
              <w:spacing w:after="0"/>
              <w:rPr>
                <w:sz w:val="20"/>
                <w:szCs w:val="20"/>
                <w:color w:val="auto"/>
              </w:rPr>
            </w:pPr>
            <w:r>
              <w:rPr>
                <w:rFonts w:ascii="Times New Roman" w:cs="Times New Roman" w:eastAsia="Times New Roman" w:hAnsi="Times New Roman"/>
                <w:sz w:val="28"/>
                <w:szCs w:val="28"/>
                <w:color w:val="auto"/>
              </w:rPr>
              <w:t>проценты за кредит</w:t>
            </w:r>
          </w:p>
        </w:tc>
        <w:tc>
          <w:tcPr>
            <w:tcW w:w="1260" w:type="dxa"/>
            <w:vAlign w:val="bottom"/>
          </w:tcPr>
          <w:p>
            <w:pPr>
              <w:ind w:left="360"/>
              <w:spacing w:after="0"/>
              <w:rPr>
                <w:sz w:val="20"/>
                <w:szCs w:val="20"/>
                <w:color w:val="auto"/>
              </w:rPr>
            </w:pPr>
            <w:r>
              <w:rPr>
                <w:rFonts w:ascii="Times New Roman" w:cs="Times New Roman" w:eastAsia="Times New Roman" w:hAnsi="Times New Roman"/>
                <w:sz w:val="28"/>
                <w:szCs w:val="28"/>
                <w:color w:val="auto"/>
              </w:rPr>
              <w:t>51 425</w:t>
            </w:r>
          </w:p>
        </w:tc>
      </w:tr>
      <w:tr>
        <w:trPr>
          <w:trHeight w:val="322"/>
        </w:trPr>
        <w:tc>
          <w:tcPr>
            <w:tcW w:w="5300" w:type="dxa"/>
            <w:vAlign w:val="bottom"/>
          </w:tcPr>
          <w:p>
            <w:pPr>
              <w:spacing w:after="0"/>
              <w:rPr>
                <w:sz w:val="20"/>
                <w:szCs w:val="20"/>
                <w:color w:val="auto"/>
              </w:rPr>
            </w:pPr>
            <w:r>
              <w:rPr>
                <w:rFonts w:ascii="Times New Roman" w:cs="Times New Roman" w:eastAsia="Times New Roman" w:hAnsi="Times New Roman"/>
                <w:sz w:val="28"/>
                <w:szCs w:val="28"/>
                <w:color w:val="auto"/>
              </w:rPr>
              <w:t>увеличение задолженности по балансу</w:t>
            </w:r>
          </w:p>
        </w:tc>
        <w:tc>
          <w:tcPr>
            <w:tcW w:w="1260" w:type="dxa"/>
            <w:vAlign w:val="bottom"/>
          </w:tcPr>
          <w:p>
            <w:pPr>
              <w:ind w:left="360"/>
              <w:spacing w:after="0"/>
              <w:rPr>
                <w:sz w:val="20"/>
                <w:szCs w:val="20"/>
                <w:color w:val="auto"/>
              </w:rPr>
            </w:pPr>
            <w:r>
              <w:rPr>
                <w:rFonts w:ascii="Times New Roman" w:cs="Times New Roman" w:eastAsia="Times New Roman" w:hAnsi="Times New Roman"/>
                <w:sz w:val="28"/>
                <w:szCs w:val="28"/>
                <w:color w:val="auto"/>
                <w:w w:val="96"/>
              </w:rPr>
              <w:t>480 000</w:t>
            </w:r>
          </w:p>
        </w:tc>
      </w:tr>
      <w:tr>
        <w:trPr>
          <w:trHeight w:val="323"/>
        </w:trPr>
        <w:tc>
          <w:tcPr>
            <w:tcW w:w="5300" w:type="dxa"/>
            <w:vAlign w:val="bottom"/>
          </w:tcPr>
          <w:p>
            <w:pPr>
              <w:spacing w:after="0"/>
              <w:rPr>
                <w:sz w:val="20"/>
                <w:szCs w:val="20"/>
                <w:color w:val="auto"/>
              </w:rPr>
            </w:pPr>
            <w:r>
              <w:rPr>
                <w:rFonts w:ascii="Times New Roman" w:cs="Times New Roman" w:eastAsia="Times New Roman" w:hAnsi="Times New Roman"/>
                <w:sz w:val="28"/>
                <w:szCs w:val="28"/>
                <w:color w:val="auto"/>
              </w:rPr>
              <w:t>вновь приобретенные активы,</w:t>
            </w:r>
          </w:p>
        </w:tc>
        <w:tc>
          <w:tcPr>
            <w:tcW w:w="1260" w:type="dxa"/>
            <w:vAlign w:val="bottom"/>
          </w:tcPr>
          <w:p>
            <w:pPr>
              <w:spacing w:after="0"/>
              <w:rPr>
                <w:sz w:val="24"/>
                <w:szCs w:val="24"/>
                <w:color w:val="auto"/>
              </w:rPr>
            </w:pPr>
          </w:p>
        </w:tc>
      </w:tr>
      <w:tr>
        <w:trPr>
          <w:trHeight w:val="364"/>
        </w:trPr>
        <w:tc>
          <w:tcPr>
            <w:tcW w:w="5300" w:type="dxa"/>
            <w:vAlign w:val="bottom"/>
          </w:tcPr>
          <w:p>
            <w:pPr>
              <w:spacing w:after="0"/>
              <w:rPr>
                <w:sz w:val="20"/>
                <w:szCs w:val="20"/>
                <w:color w:val="auto"/>
              </w:rPr>
            </w:pPr>
            <w:r>
              <w:rPr>
                <w:rFonts w:ascii="Times New Roman" w:cs="Times New Roman" w:eastAsia="Times New Roman" w:hAnsi="Times New Roman"/>
                <w:sz w:val="28"/>
                <w:szCs w:val="28"/>
                <w:color w:val="auto"/>
              </w:rPr>
              <w:t>поставленные на баланс</w:t>
            </w:r>
          </w:p>
        </w:tc>
        <w:tc>
          <w:tcPr>
            <w:tcW w:w="1260" w:type="dxa"/>
            <w:vAlign w:val="bottom"/>
          </w:tcPr>
          <w:p>
            <w:pPr>
              <w:ind w:left="360"/>
              <w:spacing w:after="0"/>
              <w:rPr>
                <w:sz w:val="20"/>
                <w:szCs w:val="20"/>
                <w:color w:val="auto"/>
              </w:rPr>
            </w:pPr>
            <w:r>
              <w:rPr>
                <w:rFonts w:ascii="Times New Roman" w:cs="Times New Roman" w:eastAsia="Times New Roman" w:hAnsi="Times New Roman"/>
                <w:sz w:val="28"/>
                <w:szCs w:val="28"/>
                <w:color w:val="auto"/>
                <w:w w:val="96"/>
              </w:rPr>
              <w:t>415 000</w:t>
            </w:r>
          </w:p>
        </w:tc>
      </w:tr>
    </w:tbl>
    <w:p>
      <w:pPr>
        <w:spacing w:after="0" w:line="280" w:lineRule="exact"/>
        <w:rPr>
          <w:sz w:val="20"/>
          <w:szCs w:val="20"/>
          <w:color w:val="auto"/>
        </w:rPr>
      </w:pPr>
    </w:p>
    <w:p>
      <w:pPr>
        <w:jc w:val="both"/>
        <w:ind w:left="260" w:firstLine="711"/>
        <w:spacing w:after="0" w:line="250" w:lineRule="auto"/>
        <w:tabs>
          <w:tab w:leader="none" w:pos="1380" w:val="left"/>
        </w:tabs>
        <w:numPr>
          <w:ilvl w:val="0"/>
          <w:numId w:val="5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Какую максимальную цену можно ожидать за предприятие в настоящий момент, если в его выдержавшем требовательную защиту бизнес-плане намечается, что через 5 лет (длительность прогнозного периода) денежный поток предприятия выйдет на уровень 750 000 руб. при</w:t>
      </w:r>
    </w:p>
    <w:p>
      <w:pPr>
        <w:sectPr>
          <w:pgSz w:w="11900" w:h="16840" w:orient="portrait"/>
          <w:cols w:equalWidth="0" w:num="1">
            <w:col w:w="9620"/>
          </w:cols>
          <w:pgMar w:left="1440" w:top="1111" w:right="844" w:bottom="163" w:gutter="0" w:footer="0" w:header="0"/>
        </w:sectPr>
      </w:pPr>
    </w:p>
    <w:p>
      <w:pPr>
        <w:spacing w:after="0" w:line="200" w:lineRule="exact"/>
        <w:rPr>
          <w:sz w:val="20"/>
          <w:szCs w:val="20"/>
          <w:color w:val="auto"/>
        </w:rPr>
      </w:pPr>
    </w:p>
    <w:p>
      <w:pPr>
        <w:spacing w:after="0" w:line="203" w:lineRule="exact"/>
        <w:rPr>
          <w:sz w:val="20"/>
          <w:szCs w:val="20"/>
          <w:color w:val="auto"/>
        </w:rPr>
      </w:pPr>
    </w:p>
    <w:p>
      <w:pPr>
        <w:ind w:left="9380"/>
        <w:spacing w:after="0"/>
        <w:rPr>
          <w:sz w:val="20"/>
          <w:szCs w:val="20"/>
          <w:color w:val="auto"/>
        </w:rPr>
      </w:pPr>
      <w:r>
        <w:rPr>
          <w:rFonts w:ascii="Times New Roman" w:cs="Times New Roman" w:eastAsia="Times New Roman" w:hAnsi="Times New Roman"/>
          <w:sz w:val="24"/>
          <w:szCs w:val="24"/>
          <w:color w:val="auto"/>
        </w:rPr>
        <w:t>17</w:t>
      </w:r>
    </w:p>
    <w:p>
      <w:pPr>
        <w:sectPr>
          <w:pgSz w:w="11900" w:h="16840" w:orient="portrait"/>
          <w:cols w:equalWidth="0" w:num="1">
            <w:col w:w="9620"/>
          </w:cols>
          <w:pgMar w:left="1440" w:top="1111" w:right="844" w:bottom="163" w:gutter="0" w:footer="0" w:header="0"/>
          <w:type w:val="continuous"/>
        </w:sectPr>
      </w:pPr>
    </w:p>
    <w:p>
      <w:pPr>
        <w:jc w:val="both"/>
        <w:ind w:left="260"/>
        <w:spacing w:after="0" w:line="250" w:lineRule="auto"/>
        <w:rPr>
          <w:sz w:val="20"/>
          <w:szCs w:val="20"/>
          <w:color w:val="auto"/>
        </w:rPr>
      </w:pPr>
      <w:r>
        <w:rPr>
          <w:rFonts w:ascii="Times New Roman" w:cs="Times New Roman" w:eastAsia="Times New Roman" w:hAnsi="Times New Roman"/>
          <w:sz w:val="28"/>
          <w:szCs w:val="28"/>
          <w:color w:val="auto"/>
        </w:rPr>
        <w:t>выявлении, уже начиная с перехода от второго к третьему году прогнозного периода, стабильного темпа прироста в 4%. Бизнес предприятия является долгосрочным. Указать на время его окончания невозможно. Рекомендуемая ставка дисконта - 20%.</w:t>
      </w:r>
    </w:p>
    <w:p>
      <w:pPr>
        <w:spacing w:after="0" w:line="269" w:lineRule="exact"/>
        <w:rPr>
          <w:sz w:val="20"/>
          <w:szCs w:val="20"/>
          <w:color w:val="auto"/>
        </w:rPr>
      </w:pPr>
    </w:p>
    <w:p>
      <w:pPr>
        <w:ind w:left="260" w:firstLine="718"/>
        <w:spacing w:after="0" w:line="239" w:lineRule="auto"/>
        <w:tabs>
          <w:tab w:leader="none" w:pos="1296" w:val="left"/>
        </w:tabs>
        <w:numPr>
          <w:ilvl w:val="1"/>
          <w:numId w:val="5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Рассчитать остаточную текущую стоимость бизнеса, если известна следующая информация.</w:t>
      </w:r>
    </w:p>
    <w:p>
      <w:pPr>
        <w:spacing w:after="0" w:line="1" w:lineRule="exact"/>
        <w:rPr>
          <w:rFonts w:ascii="Times New Roman" w:cs="Times New Roman" w:eastAsia="Times New Roman" w:hAnsi="Times New Roman"/>
          <w:sz w:val="28"/>
          <w:szCs w:val="28"/>
          <w:color w:val="auto"/>
        </w:rPr>
      </w:pPr>
    </w:p>
    <w:p>
      <w:pPr>
        <w:ind w:left="98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На ближайшие три года планируются денежные потоки: за первый год</w:t>
      </w:r>
    </w:p>
    <w:p>
      <w:pPr>
        <w:jc w:val="both"/>
        <w:ind w:left="260" w:right="20" w:firstLine="5"/>
        <w:spacing w:after="0"/>
        <w:tabs>
          <w:tab w:leader="none" w:pos="463" w:val="left"/>
        </w:tabs>
        <w:numPr>
          <w:ilvl w:val="0"/>
          <w:numId w:val="5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90 000 руб.; за второй год - 105 000 руб.; за третий год - 120 000 руб. В дальнейшем денежные потоки прогнозируются как стабильные (на уровне третьего года) в течение неопределенно длительного времени.</w:t>
      </w:r>
    </w:p>
    <w:p>
      <w:pPr>
        <w:jc w:val="both"/>
        <w:ind w:left="260" w:firstLine="709"/>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Реальная безрисковая ставка- 1,5% годовых. Согласно плану-прогнозу Министерства экономического развития и торговли инфляция в стране в ближайшие три года будет составлять по оптимистическому сценарию в первом следующем году - 12%, во втором году - 10%, в третьем году -8%. По пессимистическому сценарию инфляция окажется равной 15% в первом году, 13% во втором году и 10% в третьем году. Наиболее вероятный сценарий предполагает, что инфляция достигнет 13% в первом году, 11% - во втором и 9% - в третьем. В дальнейшем инфляция должна стабилизироваться и оставаться в среднем на уровне третьего года.</w:t>
      </w:r>
    </w:p>
    <w:p>
      <w:pPr>
        <w:jc w:val="both"/>
        <w:ind w:left="260" w:right="20" w:firstLine="709"/>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Наиболее устойчивые по своим значениям коэффициенты «бета» по трем открытым компаниям отрасли составляют на момент оценки: у компании А - 1,48, у компании Б - 1,81, у компании В - 2,03. Рыночные капитализации этих компаний равны соответственно 2,361 млн. руб., 4,752 млн. руб. и 3,212 млн. руб.</w:t>
      </w:r>
    </w:p>
    <w:p>
      <w:pPr>
        <w:jc w:val="both"/>
        <w:ind w:left="260" w:right="20" w:firstLine="709"/>
        <w:spacing w:after="0" w:line="255"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Среднерыночная доходность на момент оценки равна 23%. В дальнейшем она ожидается на уровне 20% для первых трех лет и 15% для последующих лет.</w:t>
      </w:r>
    </w:p>
    <w:p>
      <w:pPr>
        <w:spacing w:after="0" w:line="261" w:lineRule="exact"/>
        <w:rPr>
          <w:rFonts w:ascii="Times New Roman" w:cs="Times New Roman" w:eastAsia="Times New Roman" w:hAnsi="Times New Roman"/>
          <w:sz w:val="28"/>
          <w:szCs w:val="28"/>
          <w:color w:val="auto"/>
        </w:rPr>
      </w:pPr>
    </w:p>
    <w:p>
      <w:pPr>
        <w:ind w:left="260" w:right="20" w:firstLine="714"/>
        <w:spacing w:after="0"/>
        <w:tabs>
          <w:tab w:leader="none" w:pos="1447" w:val="left"/>
        </w:tabs>
        <w:numPr>
          <w:ilvl w:val="1"/>
          <w:numId w:val="5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Оценить остаточную текущую стоимость бизнеса, если известны следующие сведения.</w:t>
      </w:r>
    </w:p>
    <w:p>
      <w:pPr>
        <w:jc w:val="both"/>
        <w:ind w:left="260" w:firstLine="709"/>
        <w:spacing w:after="0" w:line="239"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На ближайшие три года планируются скорректированные по методу сценариев денежные потоки: за первый год - 120 000 руб.; за второй год – 150 000 руб.; за третий год - 180 000 руб. В дальнейшем денежные потоки прогнозируются как стабильные (на уровне третьего года) в течение семи лет. После этого бизнес ожидается убыточным.</w:t>
      </w:r>
    </w:p>
    <w:p>
      <w:pPr>
        <w:spacing w:after="0" w:line="6" w:lineRule="exact"/>
        <w:rPr>
          <w:rFonts w:ascii="Times New Roman" w:cs="Times New Roman" w:eastAsia="Times New Roman" w:hAnsi="Times New Roman"/>
          <w:sz w:val="28"/>
          <w:szCs w:val="28"/>
          <w:color w:val="auto"/>
        </w:rPr>
      </w:pPr>
    </w:p>
    <w:p>
      <w:pPr>
        <w:jc w:val="both"/>
        <w:ind w:left="260" w:firstLine="709"/>
        <w:spacing w:after="0" w:line="243"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Реальная безрисковая ставка - 2% годовых. Согласно плану-прогнозу Министерства экономического развития и торговли инфляция в стране в ближайшие три года будет составлять по оптимистическому сценарию в первом следующем году - 14%, во втором году - 12%, в третьем году -7%. По пессимистическому сценарию инфляция окажется равной 16% в первом году, 15% - во втором году и 14% - в третьем году. Наиболее вероятный сценарий предполагает, что инфляция достигнет 15% в первом году, 13% - во втором и 11% - в третьем. В дальнейшем инфляция должна стабилизироваться и оставаться в среднем на уровне третьего года.</w:t>
      </w:r>
    </w:p>
    <w:p>
      <w:pPr>
        <w:sectPr>
          <w:pgSz w:w="11900" w:h="16840" w:orient="portrait"/>
          <w:cols w:equalWidth="0" w:num="1">
            <w:col w:w="9620"/>
          </w:cols>
          <w:pgMar w:left="1440" w:top="1112" w:right="844" w:bottom="163" w:gutter="0" w:footer="0" w:header="0"/>
        </w:sectPr>
      </w:pPr>
    </w:p>
    <w:p>
      <w:pPr>
        <w:spacing w:after="0" w:line="199" w:lineRule="exact"/>
        <w:rPr>
          <w:sz w:val="20"/>
          <w:szCs w:val="20"/>
          <w:color w:val="auto"/>
        </w:rPr>
      </w:pPr>
    </w:p>
    <w:p>
      <w:pPr>
        <w:ind w:left="9380"/>
        <w:spacing w:after="0"/>
        <w:rPr>
          <w:sz w:val="20"/>
          <w:szCs w:val="20"/>
          <w:color w:val="auto"/>
        </w:rPr>
      </w:pPr>
      <w:r>
        <w:rPr>
          <w:rFonts w:ascii="Times New Roman" w:cs="Times New Roman" w:eastAsia="Times New Roman" w:hAnsi="Times New Roman"/>
          <w:sz w:val="24"/>
          <w:szCs w:val="24"/>
          <w:color w:val="auto"/>
        </w:rPr>
        <w:t>18</w:t>
      </w:r>
    </w:p>
    <w:p>
      <w:pPr>
        <w:sectPr>
          <w:pgSz w:w="11900" w:h="16840" w:orient="portrait"/>
          <w:cols w:equalWidth="0" w:num="1">
            <w:col w:w="9620"/>
          </w:cols>
          <w:pgMar w:left="1440" w:top="1112" w:right="844" w:bottom="163" w:gutter="0" w:footer="0" w:header="0"/>
          <w:type w:val="continuous"/>
        </w:sectPr>
      </w:pPr>
    </w:p>
    <w:p>
      <w:pPr>
        <w:ind w:left="1360" w:hanging="369"/>
        <w:spacing w:after="0"/>
        <w:tabs>
          <w:tab w:leader="none" w:pos="1360" w:val="left"/>
        </w:tabs>
        <w:numPr>
          <w:ilvl w:val="0"/>
          <w:numId w:val="5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РЫНОЧНЫЙ ПОДХОД К ОЦЕНКЕ СТОИМОСТИ БИЗНЕСА</w:t>
      </w:r>
    </w:p>
    <w:p>
      <w:pPr>
        <w:spacing w:after="0" w:line="322" w:lineRule="exact"/>
        <w:rPr>
          <w:sz w:val="20"/>
          <w:szCs w:val="20"/>
          <w:color w:val="auto"/>
        </w:rPr>
      </w:pPr>
    </w:p>
    <w:p>
      <w:pPr>
        <w:jc w:val="center"/>
        <w:ind w:right="-259"/>
        <w:spacing w:after="0"/>
        <w:rPr>
          <w:sz w:val="20"/>
          <w:szCs w:val="20"/>
          <w:color w:val="auto"/>
        </w:rPr>
      </w:pPr>
      <w:r>
        <w:rPr>
          <w:rFonts w:ascii="Times New Roman" w:cs="Times New Roman" w:eastAsia="Times New Roman" w:hAnsi="Times New Roman"/>
          <w:sz w:val="28"/>
          <w:szCs w:val="28"/>
          <w:color w:val="auto"/>
        </w:rPr>
        <w:t>ДЕМОНСТРАЦИОННЫЕ ЗАДАЧИ</w:t>
      </w:r>
    </w:p>
    <w:p>
      <w:pPr>
        <w:spacing w:after="0" w:line="321" w:lineRule="exact"/>
        <w:rPr>
          <w:sz w:val="20"/>
          <w:szCs w:val="20"/>
          <w:color w:val="auto"/>
        </w:rPr>
      </w:pPr>
    </w:p>
    <w:p>
      <w:pPr>
        <w:jc w:val="both"/>
        <w:ind w:left="260" w:firstLine="720"/>
        <w:spacing w:after="0"/>
        <w:rPr>
          <w:sz w:val="20"/>
          <w:szCs w:val="20"/>
          <w:color w:val="auto"/>
        </w:rPr>
      </w:pPr>
      <w:r>
        <w:rPr>
          <w:rFonts w:ascii="Times New Roman" w:cs="Times New Roman" w:eastAsia="Times New Roman" w:hAnsi="Times New Roman"/>
          <w:sz w:val="28"/>
          <w:szCs w:val="28"/>
          <w:u w:val="single" w:color="auto"/>
          <w:color w:val="auto"/>
        </w:rPr>
        <w:t>Задача</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u w:val="single" w:color="auto"/>
          <w:color w:val="auto"/>
        </w:rPr>
        <w:t>2.1.</w:t>
      </w:r>
      <w:r>
        <w:rPr>
          <w:rFonts w:ascii="Times New Roman" w:cs="Times New Roman" w:eastAsia="Times New Roman" w:hAnsi="Times New Roman"/>
          <w:sz w:val="28"/>
          <w:szCs w:val="28"/>
          <w:color w:val="auto"/>
        </w:rPr>
        <w:t xml:space="preserve"> В бизнес-плане предприятия, создаваемого для освоения нового продукта, значится, что его ожидаемые балансовая прибыль (за вычетом налога на имущество и других обязательных платежей и сборов, взимаемых с балансовой прибыли) и балансовая стоимость активов через год составят соответственно 20 и 110 млн. руб. В этом же документе указано, что предприятие через год будет иметь непогашенные долги на сумму 15 млн. руб. и за год из не облагаемой налогом части прибыли выплатит процентов по кредитам на сумму 5 млн. руб. Ставка налога на прибыль, закладываемая</w:t>
      </w:r>
    </w:p>
    <w:p>
      <w:pPr>
        <w:spacing w:after="0" w:line="1" w:lineRule="exact"/>
        <w:rPr>
          <w:sz w:val="20"/>
          <w:szCs w:val="20"/>
          <w:color w:val="auto"/>
        </w:rPr>
      </w:pPr>
    </w:p>
    <w:p>
      <w:pPr>
        <w:jc w:val="both"/>
        <w:ind w:left="260" w:firstLine="2"/>
        <w:spacing w:after="0" w:line="242" w:lineRule="auto"/>
        <w:tabs>
          <w:tab w:leader="none" w:pos="638" w:val="left"/>
        </w:tabs>
        <w:numPr>
          <w:ilvl w:val="0"/>
          <w:numId w:val="5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бизнес-план, равна 34%. Из опубликованного финансового отчета аналогичного предприятия (полностью специализирующегося на выпуске технически близкого продукта, который удовлетворяет те же потребности, и являющегося открытым акционерным обществом с ликвидными акциями) следует, что за несколько прошедших лет отношение котируемой на фондовой бирже стоимости одной акции этого предприятия к его приходящейся на одну акцию годовой прибыли после налогообложения оказалось равным в среднем 5,1. Мультипликатор «Цена/Балансовая стоимость» по этому предприятию составил за ряд прошедших лет 2,2. Как должен будет оценить инвестор будущую рыночную стоимость создаваемого предприятия по состоянию на год вперед после начала его деятельности, если инвестор доверяет статистике и сопоставимости сравниваемых фирм по мультипликатору «Цена/Прибыль» на 85% (субъективная оценка), а по мультипликатору «Цена/Балансовая стоимость» - на 15% (имея в виду, что в сумме данному методу оценки он доверяет на 100%)?</w:t>
      </w:r>
    </w:p>
    <w:p>
      <w:pPr>
        <w:spacing w:after="0" w:line="281" w:lineRule="exact"/>
        <w:rPr>
          <w:sz w:val="20"/>
          <w:szCs w:val="20"/>
          <w:color w:val="auto"/>
        </w:rPr>
      </w:pPr>
    </w:p>
    <w:p>
      <w:pPr>
        <w:ind w:left="1020"/>
        <w:spacing w:after="0"/>
        <w:rPr>
          <w:sz w:val="20"/>
          <w:szCs w:val="20"/>
          <w:color w:val="auto"/>
        </w:rPr>
      </w:pPr>
      <w:r>
        <w:rPr>
          <w:rFonts w:ascii="Times New Roman" w:cs="Times New Roman" w:eastAsia="Times New Roman" w:hAnsi="Times New Roman"/>
          <w:sz w:val="28"/>
          <w:szCs w:val="28"/>
          <w:u w:val="single" w:color="auto"/>
          <w:color w:val="auto"/>
        </w:rPr>
        <w:t>Решение.</w:t>
      </w:r>
    </w:p>
    <w:p>
      <w:pPr>
        <w:jc w:val="both"/>
        <w:ind w:left="280" w:firstLine="720"/>
        <w:spacing w:after="0" w:line="247" w:lineRule="auto"/>
        <w:rPr>
          <w:sz w:val="20"/>
          <w:szCs w:val="20"/>
          <w:color w:val="auto"/>
        </w:rPr>
      </w:pPr>
      <w:r>
        <w:rPr>
          <w:rFonts w:ascii="Times New Roman" w:cs="Times New Roman" w:eastAsia="Times New Roman" w:hAnsi="Times New Roman"/>
          <w:sz w:val="28"/>
          <w:szCs w:val="28"/>
          <w:color w:val="auto"/>
        </w:rPr>
        <w:t>Мультипликатор «Цена/Прибыль» взят здесь с фондового рынка применительно к прибыли после налогообложения. Поэтому адекватной ему базой в показателях анализируемого предприятия должна служить ожидаемая балансовая прибыль, уменьшенная на планируемые процентные выплаты и платежи по налогу на прибыль:</w:t>
      </w:r>
    </w:p>
    <w:p>
      <w:pPr>
        <w:spacing w:after="0" w:line="275" w:lineRule="exact"/>
        <w:rPr>
          <w:sz w:val="20"/>
          <w:szCs w:val="20"/>
          <w:color w:val="auto"/>
        </w:rPr>
      </w:pPr>
    </w:p>
    <w:p>
      <w:pPr>
        <w:ind w:left="340" w:right="60" w:firstLine="775"/>
        <w:spacing w:after="0" w:line="248" w:lineRule="auto"/>
        <w:rPr>
          <w:sz w:val="20"/>
          <w:szCs w:val="20"/>
          <w:color w:val="auto"/>
        </w:rPr>
      </w:pPr>
      <w:r>
        <w:rPr>
          <w:rFonts w:ascii="Times New Roman" w:cs="Times New Roman" w:eastAsia="Times New Roman" w:hAnsi="Times New Roman"/>
          <w:sz w:val="27"/>
          <w:szCs w:val="27"/>
          <w:color w:val="auto"/>
        </w:rPr>
        <w:t>Планируемая прибыль после налогообложения = Балансовая прибыль (за вычетом налога на имущество и других обязательных платежей и сборов,</w:t>
      </w:r>
    </w:p>
    <w:p>
      <w:pPr>
        <w:spacing w:after="0" w:line="2" w:lineRule="exact"/>
        <w:rPr>
          <w:sz w:val="20"/>
          <w:szCs w:val="20"/>
          <w:color w:val="auto"/>
        </w:rPr>
      </w:pPr>
    </w:p>
    <w:p>
      <w:pPr>
        <w:jc w:val="center"/>
        <w:ind w:right="-279"/>
        <w:spacing w:after="0"/>
        <w:rPr>
          <w:sz w:val="20"/>
          <w:szCs w:val="20"/>
          <w:color w:val="auto"/>
        </w:rPr>
      </w:pPr>
      <w:r>
        <w:rPr>
          <w:rFonts w:ascii="Times New Roman" w:cs="Times New Roman" w:eastAsia="Times New Roman" w:hAnsi="Times New Roman"/>
          <w:sz w:val="28"/>
          <w:szCs w:val="28"/>
          <w:color w:val="auto"/>
        </w:rPr>
        <w:t>взимаемых с прибыли) - Процентные платежи - Налог на прибыль (равен планируемой после процентных платежей прибыли, помноженной на ожидаемую ставку налога с прибыли) =</w:t>
      </w:r>
    </w:p>
    <w:p>
      <w:pPr>
        <w:jc w:val="center"/>
        <w:ind w:left="1600"/>
        <w:spacing w:after="0"/>
        <w:rPr>
          <w:sz w:val="20"/>
          <w:szCs w:val="20"/>
          <w:color w:val="auto"/>
        </w:rPr>
      </w:pPr>
      <w:r>
        <w:rPr>
          <w:rFonts w:ascii="Times New Roman" w:cs="Times New Roman" w:eastAsia="Times New Roman" w:hAnsi="Times New Roman"/>
          <w:sz w:val="28"/>
          <w:szCs w:val="28"/>
          <w:color w:val="auto"/>
        </w:rPr>
        <w:t>= (20 - 5) - (20 - 5) · 0,34 = 9,9 млн. руб.</w:t>
      </w:r>
    </w:p>
    <w:p>
      <w:pPr>
        <w:spacing w:after="0" w:line="322" w:lineRule="exact"/>
        <w:rPr>
          <w:sz w:val="20"/>
          <w:szCs w:val="20"/>
          <w:color w:val="auto"/>
        </w:rPr>
      </w:pPr>
    </w:p>
    <w:p>
      <w:pPr>
        <w:jc w:val="both"/>
        <w:ind w:left="280" w:firstLine="720"/>
        <w:spacing w:after="0" w:line="255" w:lineRule="auto"/>
        <w:rPr>
          <w:sz w:val="20"/>
          <w:szCs w:val="20"/>
          <w:color w:val="auto"/>
        </w:rPr>
      </w:pPr>
      <w:r>
        <w:rPr>
          <w:rFonts w:ascii="Times New Roman" w:cs="Times New Roman" w:eastAsia="Times New Roman" w:hAnsi="Times New Roman"/>
          <w:sz w:val="28"/>
          <w:szCs w:val="28"/>
          <w:color w:val="auto"/>
        </w:rPr>
        <w:t>Мультипликатор «Цена/Балансовая стоимость» на фондовом рынке принято исчислять по чистой (за вычетом долгосрочной задолженности) балансовой стоимости аналогичных предприятий. Следовательно,</w:t>
      </w:r>
    </w:p>
    <w:p>
      <w:pPr>
        <w:sectPr>
          <w:pgSz w:w="11900" w:h="16840" w:orient="portrait"/>
          <w:cols w:equalWidth="0" w:num="1">
            <w:col w:w="9620"/>
          </w:cols>
          <w:pgMar w:left="1440" w:top="1112" w:right="844" w:bottom="163" w:gutter="0" w:footer="0" w:header="0"/>
        </w:sectPr>
      </w:pPr>
    </w:p>
    <w:p>
      <w:pPr>
        <w:spacing w:after="0" w:line="175" w:lineRule="exact"/>
        <w:rPr>
          <w:sz w:val="20"/>
          <w:szCs w:val="20"/>
          <w:color w:val="auto"/>
        </w:rPr>
      </w:pPr>
    </w:p>
    <w:p>
      <w:pPr>
        <w:ind w:left="9380"/>
        <w:spacing w:after="0"/>
        <w:rPr>
          <w:sz w:val="20"/>
          <w:szCs w:val="20"/>
          <w:color w:val="auto"/>
        </w:rPr>
      </w:pPr>
      <w:r>
        <w:rPr>
          <w:rFonts w:ascii="Times New Roman" w:cs="Times New Roman" w:eastAsia="Times New Roman" w:hAnsi="Times New Roman"/>
          <w:sz w:val="24"/>
          <w:szCs w:val="24"/>
          <w:color w:val="auto"/>
        </w:rPr>
        <w:t>19</w:t>
      </w:r>
    </w:p>
    <w:p>
      <w:pPr>
        <w:sectPr>
          <w:pgSz w:w="11900" w:h="16840" w:orient="portrait"/>
          <w:cols w:equalWidth="0" w:num="1">
            <w:col w:w="9620"/>
          </w:cols>
          <w:pgMar w:left="1440" w:top="1112" w:right="844" w:bottom="163" w:gutter="0" w:footer="0" w:header="0"/>
          <w:type w:val="continuous"/>
        </w:sectPr>
      </w:pPr>
    </w:p>
    <w:p>
      <w:pPr>
        <w:jc w:val="both"/>
        <w:ind w:left="280"/>
        <w:spacing w:after="0" w:line="270" w:lineRule="auto"/>
        <w:rPr>
          <w:sz w:val="20"/>
          <w:szCs w:val="20"/>
          <w:color w:val="auto"/>
        </w:rPr>
      </w:pPr>
      <w:r>
        <w:rPr>
          <w:rFonts w:ascii="Times New Roman" w:cs="Times New Roman" w:eastAsia="Times New Roman" w:hAnsi="Times New Roman"/>
          <w:sz w:val="28"/>
          <w:szCs w:val="28"/>
          <w:color w:val="auto"/>
        </w:rPr>
        <w:t>использовать его к рассматриваемому предприятию следует также применительно к его планируемой чистой балансовой стоимости:</w:t>
      </w:r>
    </w:p>
    <w:p>
      <w:pPr>
        <w:spacing w:after="0" w:line="242" w:lineRule="exact"/>
        <w:rPr>
          <w:sz w:val="20"/>
          <w:szCs w:val="20"/>
          <w:color w:val="auto"/>
        </w:rPr>
      </w:pPr>
    </w:p>
    <w:p>
      <w:pPr>
        <w:jc w:val="center"/>
        <w:ind w:right="-259"/>
        <w:spacing w:after="0" w:line="255" w:lineRule="auto"/>
        <w:rPr>
          <w:sz w:val="20"/>
          <w:szCs w:val="20"/>
          <w:color w:val="auto"/>
        </w:rPr>
      </w:pPr>
      <w:r>
        <w:rPr>
          <w:rFonts w:ascii="Times New Roman" w:cs="Times New Roman" w:eastAsia="Times New Roman" w:hAnsi="Times New Roman"/>
          <w:sz w:val="28"/>
          <w:szCs w:val="28"/>
          <w:color w:val="auto"/>
        </w:rPr>
        <w:t>Ожидаемая чистая балансовая стоимость = Планируемая балансовая стоимость - Ожидаемая [непогашенная] задолженность = = 110 - 15 = 95 млн. руб.</w:t>
      </w:r>
    </w:p>
    <w:p>
      <w:pPr>
        <w:spacing w:after="0" w:line="261" w:lineRule="exact"/>
        <w:rPr>
          <w:sz w:val="20"/>
          <w:szCs w:val="20"/>
          <w:color w:val="auto"/>
        </w:rPr>
      </w:pPr>
    </w:p>
    <w:p>
      <w:pPr>
        <w:jc w:val="both"/>
        <w:ind w:left="260" w:firstLine="720"/>
        <w:spacing w:after="0" w:line="231" w:lineRule="auto"/>
        <w:rPr>
          <w:sz w:val="20"/>
          <w:szCs w:val="20"/>
          <w:color w:val="auto"/>
        </w:rPr>
      </w:pPr>
      <w:r>
        <w:rPr>
          <w:rFonts w:ascii="Times New Roman" w:cs="Times New Roman" w:eastAsia="Times New Roman" w:hAnsi="Times New Roman"/>
          <w:sz w:val="28"/>
          <w:szCs w:val="28"/>
          <w:color w:val="auto"/>
        </w:rPr>
        <w:t>Весовые коэффициенты для расчета средневзвешенной (из оценок по мультипликаторам «Цена/Прибыль» и « Цена/Балансовая стоимость») ожидаемой стоимости предприятия: k</w:t>
      </w:r>
      <w:r>
        <w:rPr>
          <w:rFonts w:ascii="Times New Roman" w:cs="Times New Roman" w:eastAsia="Times New Roman" w:hAnsi="Times New Roman"/>
          <w:sz w:val="36"/>
          <w:szCs w:val="36"/>
          <w:color w:val="auto"/>
          <w:vertAlign w:val="subscript"/>
        </w:rPr>
        <w:t>1</w:t>
      </w:r>
      <w:r>
        <w:rPr>
          <w:rFonts w:ascii="Times New Roman" w:cs="Times New Roman" w:eastAsia="Times New Roman" w:hAnsi="Times New Roman"/>
          <w:sz w:val="28"/>
          <w:szCs w:val="28"/>
          <w:color w:val="auto"/>
        </w:rPr>
        <w:t>=0,85 и k</w:t>
      </w:r>
      <w:r>
        <w:rPr>
          <w:rFonts w:ascii="Times New Roman" w:cs="Times New Roman" w:eastAsia="Times New Roman" w:hAnsi="Times New Roman"/>
          <w:sz w:val="36"/>
          <w:szCs w:val="36"/>
          <w:color w:val="auto"/>
          <w:vertAlign w:val="subscript"/>
        </w:rPr>
        <w:t>2</w:t>
      </w:r>
      <w:r>
        <w:rPr>
          <w:rFonts w:ascii="Times New Roman" w:cs="Times New Roman" w:eastAsia="Times New Roman" w:hAnsi="Times New Roman"/>
          <w:sz w:val="28"/>
          <w:szCs w:val="28"/>
          <w:color w:val="auto"/>
        </w:rPr>
        <w:t>=0,15; требуется оценить наиболее вероятную будущую стоимость создаваемого предприятия.</w:t>
      </w:r>
    </w:p>
    <w:p>
      <w:pPr>
        <w:spacing w:after="0" w:line="282" w:lineRule="exact"/>
        <w:rPr>
          <w:sz w:val="20"/>
          <w:szCs w:val="20"/>
          <w:color w:val="auto"/>
        </w:rPr>
      </w:pPr>
    </w:p>
    <w:p>
      <w:pPr>
        <w:jc w:val="center"/>
        <w:ind w:left="960" w:right="280" w:hanging="422"/>
        <w:spacing w:after="0" w:line="207" w:lineRule="auto"/>
        <w:tabs>
          <w:tab w:leader="none" w:pos="809" w:val="left"/>
        </w:tabs>
        <w:numPr>
          <w:ilvl w:val="0"/>
          <w:numId w:val="56"/>
        </w:numPr>
        <w:rPr>
          <w:rFonts w:ascii="Times New Roman" w:cs="Times New Roman" w:eastAsia="Times New Roman" w:hAnsi="Times New Roman"/>
          <w:sz w:val="27"/>
          <w:szCs w:val="27"/>
          <w:color w:val="auto"/>
        </w:rPr>
      </w:pPr>
      <w:r>
        <w:rPr>
          <w:rFonts w:ascii="Times New Roman" w:cs="Times New Roman" w:eastAsia="Times New Roman" w:hAnsi="Times New Roman"/>
          <w:sz w:val="27"/>
          <w:szCs w:val="27"/>
          <w:color w:val="auto"/>
        </w:rPr>
        <w:t>= «Планируемая прибыль после налогообложения» · «Мультипликатор «цена/прибыль» · k</w:t>
      </w:r>
      <w:r>
        <w:rPr>
          <w:rFonts w:ascii="Times New Roman" w:cs="Times New Roman" w:eastAsia="Times New Roman" w:hAnsi="Times New Roman"/>
          <w:sz w:val="35"/>
          <w:szCs w:val="35"/>
          <w:color w:val="auto"/>
          <w:vertAlign w:val="subscript"/>
        </w:rPr>
        <w:t>1</w:t>
      </w:r>
      <w:r>
        <w:rPr>
          <w:rFonts w:ascii="Times New Roman" w:cs="Times New Roman" w:eastAsia="Times New Roman" w:hAnsi="Times New Roman"/>
          <w:sz w:val="27"/>
          <w:szCs w:val="27"/>
          <w:color w:val="auto"/>
        </w:rPr>
        <w:t xml:space="preserve"> + «Ожидаемая чистая балансовая стоимость» · «Мультипликатор «цена/балансовая стоимость» · k</w:t>
      </w:r>
      <w:r>
        <w:rPr>
          <w:rFonts w:ascii="Times New Roman" w:cs="Times New Roman" w:eastAsia="Times New Roman" w:hAnsi="Times New Roman"/>
          <w:sz w:val="35"/>
          <w:szCs w:val="35"/>
          <w:color w:val="auto"/>
          <w:vertAlign w:val="subscript"/>
        </w:rPr>
        <w:t>2</w:t>
      </w:r>
      <w:r>
        <w:rPr>
          <w:rFonts w:ascii="Times New Roman" w:cs="Times New Roman" w:eastAsia="Times New Roman" w:hAnsi="Times New Roman"/>
          <w:sz w:val="27"/>
          <w:szCs w:val="27"/>
          <w:color w:val="auto"/>
        </w:rPr>
        <w:t xml:space="preserve"> =</w:t>
      </w:r>
    </w:p>
    <w:p>
      <w:pPr>
        <w:spacing w:after="0" w:line="3" w:lineRule="exact"/>
        <w:rPr>
          <w:rFonts w:ascii="Times New Roman" w:cs="Times New Roman" w:eastAsia="Times New Roman" w:hAnsi="Times New Roman"/>
          <w:sz w:val="27"/>
          <w:szCs w:val="27"/>
          <w:color w:val="auto"/>
        </w:rPr>
      </w:pPr>
    </w:p>
    <w:p>
      <w:pPr>
        <w:ind w:left="2380" w:hanging="224"/>
        <w:spacing w:after="0"/>
        <w:tabs>
          <w:tab w:leader="none" w:pos="2380" w:val="left"/>
        </w:tabs>
        <w:numPr>
          <w:ilvl w:val="1"/>
          <w:numId w:val="5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9,9·5,1·0,85 + 95,0·2,2·0,15 = 74,267 млн. руб.</w:t>
      </w:r>
    </w:p>
    <w:p>
      <w:pPr>
        <w:spacing w:after="0" w:line="321" w:lineRule="exact"/>
        <w:rPr>
          <w:sz w:val="20"/>
          <w:szCs w:val="20"/>
          <w:color w:val="auto"/>
        </w:rPr>
      </w:pPr>
    </w:p>
    <w:p>
      <w:pPr>
        <w:ind w:left="260" w:right="20" w:firstLine="720"/>
        <w:spacing w:after="0" w:line="247" w:lineRule="auto"/>
        <w:rPr>
          <w:sz w:val="20"/>
          <w:szCs w:val="20"/>
          <w:color w:val="auto"/>
        </w:rPr>
      </w:pPr>
      <w:r>
        <w:rPr>
          <w:rFonts w:ascii="Times New Roman" w:cs="Times New Roman" w:eastAsia="Times New Roman" w:hAnsi="Times New Roman"/>
          <w:sz w:val="28"/>
          <w:szCs w:val="28"/>
          <w:u w:val="single" w:color="auto"/>
          <w:color w:val="auto"/>
        </w:rPr>
        <w:t>Задача</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u w:val="single" w:color="auto"/>
          <w:color w:val="auto"/>
        </w:rPr>
        <w:t>2.2</w:t>
      </w:r>
      <w:r>
        <w:rPr>
          <w:rFonts w:ascii="Times New Roman" w:cs="Times New Roman" w:eastAsia="Times New Roman" w:hAnsi="Times New Roman"/>
          <w:sz w:val="28"/>
          <w:szCs w:val="28"/>
          <w:color w:val="auto"/>
        </w:rPr>
        <w:t>. Оценить обоснованную рыночную стоимость закрытой компании по следующим данным:</w:t>
      </w:r>
    </w:p>
    <w:p>
      <w:pPr>
        <w:spacing w:after="0" w:line="2" w:lineRule="exact"/>
        <w:rPr>
          <w:sz w:val="20"/>
          <w:szCs w:val="20"/>
          <w:color w:val="auto"/>
        </w:rPr>
      </w:pPr>
    </w:p>
    <w:p>
      <w:pPr>
        <w:ind w:left="1320" w:hanging="350"/>
        <w:spacing w:after="0" w:line="239" w:lineRule="auto"/>
        <w:tabs>
          <w:tab w:leader="none" w:pos="1320" w:val="left"/>
        </w:tabs>
        <w:numPr>
          <w:ilvl w:val="0"/>
          <w:numId w:val="57"/>
        </w:numPr>
        <w:rPr>
          <w:rFonts w:ascii="Symbol" w:cs="Symbol" w:eastAsia="Symbol" w:hAnsi="Symbol"/>
          <w:sz w:val="28"/>
          <w:szCs w:val="28"/>
          <w:color w:val="auto"/>
        </w:rPr>
      </w:pPr>
      <w:r>
        <w:rPr>
          <w:rFonts w:ascii="Times New Roman" w:cs="Times New Roman" w:eastAsia="Times New Roman" w:hAnsi="Times New Roman"/>
          <w:sz w:val="28"/>
          <w:szCs w:val="28"/>
          <w:color w:val="auto"/>
        </w:rPr>
        <w:t>рыночная стоимость одной акции компании - ближайшего аналога равна 113 руб.;</w:t>
      </w:r>
    </w:p>
    <w:p>
      <w:pPr>
        <w:spacing w:after="0" w:line="1" w:lineRule="exact"/>
        <w:rPr>
          <w:rFonts w:ascii="Symbol" w:cs="Symbol" w:eastAsia="Symbol" w:hAnsi="Symbol"/>
          <w:sz w:val="28"/>
          <w:szCs w:val="28"/>
          <w:color w:val="auto"/>
        </w:rPr>
      </w:pPr>
    </w:p>
    <w:p>
      <w:pPr>
        <w:jc w:val="both"/>
        <w:ind w:left="1320" w:hanging="350"/>
        <w:spacing w:after="0" w:line="239" w:lineRule="auto"/>
        <w:tabs>
          <w:tab w:leader="none" w:pos="1320" w:val="left"/>
        </w:tabs>
        <w:numPr>
          <w:ilvl w:val="0"/>
          <w:numId w:val="57"/>
        </w:numPr>
        <w:rPr>
          <w:rFonts w:ascii="Symbol" w:cs="Symbol" w:eastAsia="Symbol" w:hAnsi="Symbol"/>
          <w:sz w:val="28"/>
          <w:szCs w:val="28"/>
          <w:color w:val="auto"/>
        </w:rPr>
      </w:pPr>
      <w:r>
        <w:rPr>
          <w:rFonts w:ascii="Times New Roman" w:cs="Times New Roman" w:eastAsia="Times New Roman" w:hAnsi="Times New Roman"/>
          <w:sz w:val="28"/>
          <w:szCs w:val="28"/>
          <w:color w:val="auto"/>
        </w:rPr>
        <w:t>общее количество акций компании-аналога, указанное в ее опубликованном финансовом отчете, составляет 200 000 акций, из них 50 000 выкуплено компанией и 20 000 ранее выпущенных акций приобретено, но еще не оплачено;</w:t>
      </w:r>
    </w:p>
    <w:p>
      <w:pPr>
        <w:spacing w:after="0" w:line="4" w:lineRule="exact"/>
        <w:rPr>
          <w:rFonts w:ascii="Symbol" w:cs="Symbol" w:eastAsia="Symbol" w:hAnsi="Symbol"/>
          <w:sz w:val="28"/>
          <w:szCs w:val="28"/>
          <w:color w:val="auto"/>
        </w:rPr>
      </w:pPr>
    </w:p>
    <w:p>
      <w:pPr>
        <w:jc w:val="both"/>
        <w:ind w:left="1320" w:hanging="350"/>
        <w:spacing w:after="0" w:line="239" w:lineRule="auto"/>
        <w:tabs>
          <w:tab w:leader="none" w:pos="1320" w:val="left"/>
        </w:tabs>
        <w:numPr>
          <w:ilvl w:val="0"/>
          <w:numId w:val="57"/>
        </w:numPr>
        <w:rPr>
          <w:rFonts w:ascii="Symbol" w:cs="Symbol" w:eastAsia="Symbol" w:hAnsi="Symbol"/>
          <w:sz w:val="28"/>
          <w:szCs w:val="28"/>
          <w:color w:val="auto"/>
        </w:rPr>
      </w:pPr>
      <w:r>
        <w:rPr>
          <w:rFonts w:ascii="Times New Roman" w:cs="Times New Roman" w:eastAsia="Times New Roman" w:hAnsi="Times New Roman"/>
          <w:sz w:val="28"/>
          <w:szCs w:val="28"/>
          <w:color w:val="auto"/>
        </w:rPr>
        <w:t>доли заемного капитала оцениваемой компании и компании-аналога в их балансовой стоимости совокупного капитала одинаковы, а общие абсолютные размеры их задолженности составляют соответственно 5 и 10 млн. руб.;</w:t>
      </w:r>
    </w:p>
    <w:p>
      <w:pPr>
        <w:spacing w:after="0" w:line="4" w:lineRule="exact"/>
        <w:rPr>
          <w:rFonts w:ascii="Symbol" w:cs="Symbol" w:eastAsia="Symbol" w:hAnsi="Symbol"/>
          <w:sz w:val="28"/>
          <w:szCs w:val="28"/>
          <w:color w:val="auto"/>
        </w:rPr>
      </w:pPr>
    </w:p>
    <w:p>
      <w:pPr>
        <w:jc w:val="both"/>
        <w:ind w:left="1320" w:hanging="350"/>
        <w:spacing w:after="0" w:line="239" w:lineRule="auto"/>
        <w:tabs>
          <w:tab w:leader="none" w:pos="1320" w:val="left"/>
        </w:tabs>
        <w:numPr>
          <w:ilvl w:val="0"/>
          <w:numId w:val="57"/>
        </w:numPr>
        <w:rPr>
          <w:rFonts w:ascii="Symbol" w:cs="Symbol" w:eastAsia="Symbol" w:hAnsi="Symbol"/>
          <w:sz w:val="28"/>
          <w:szCs w:val="28"/>
          <w:color w:val="auto"/>
        </w:rPr>
      </w:pPr>
      <w:r>
        <w:rPr>
          <w:rFonts w:ascii="Times New Roman" w:cs="Times New Roman" w:eastAsia="Times New Roman" w:hAnsi="Times New Roman"/>
          <w:sz w:val="28"/>
          <w:szCs w:val="28"/>
          <w:color w:val="auto"/>
        </w:rPr>
        <w:t>средние ставки процента по кредитам, которыми пользуются рассматриваемые фирмы, таковы, что средняя кредитная ставка по оцениваемой компании в полтора раза выше, чем по компании-аналогу;</w:t>
      </w:r>
    </w:p>
    <w:p>
      <w:pPr>
        <w:spacing w:after="0" w:line="4" w:lineRule="exact"/>
        <w:rPr>
          <w:rFonts w:ascii="Symbol" w:cs="Symbol" w:eastAsia="Symbol" w:hAnsi="Symbol"/>
          <w:sz w:val="28"/>
          <w:szCs w:val="28"/>
          <w:color w:val="auto"/>
        </w:rPr>
      </w:pPr>
    </w:p>
    <w:p>
      <w:pPr>
        <w:ind w:left="1320" w:hanging="350"/>
        <w:spacing w:after="0" w:line="239" w:lineRule="auto"/>
        <w:tabs>
          <w:tab w:leader="none" w:pos="1320" w:val="left"/>
        </w:tabs>
        <w:numPr>
          <w:ilvl w:val="0"/>
          <w:numId w:val="57"/>
        </w:numPr>
        <w:rPr>
          <w:rFonts w:ascii="Symbol" w:cs="Symbol" w:eastAsia="Symbol" w:hAnsi="Symbol"/>
          <w:sz w:val="28"/>
          <w:szCs w:val="28"/>
          <w:color w:val="auto"/>
        </w:rPr>
      </w:pPr>
      <w:r>
        <w:rPr>
          <w:rFonts w:ascii="Times New Roman" w:cs="Times New Roman" w:eastAsia="Times New Roman" w:hAnsi="Times New Roman"/>
          <w:sz w:val="28"/>
          <w:szCs w:val="28"/>
          <w:color w:val="auto"/>
        </w:rPr>
        <w:t>сведений о налоговом статусе компаний не имеется;</w:t>
      </w:r>
    </w:p>
    <w:p>
      <w:pPr>
        <w:jc w:val="both"/>
        <w:ind w:left="1320" w:hanging="350"/>
        <w:spacing w:after="0" w:line="239" w:lineRule="auto"/>
        <w:tabs>
          <w:tab w:leader="none" w:pos="1320" w:val="left"/>
        </w:tabs>
        <w:numPr>
          <w:ilvl w:val="0"/>
          <w:numId w:val="57"/>
        </w:numPr>
        <w:rPr>
          <w:rFonts w:ascii="Symbol" w:cs="Symbol" w:eastAsia="Symbol" w:hAnsi="Symbol"/>
          <w:sz w:val="28"/>
          <w:szCs w:val="28"/>
          <w:color w:val="auto"/>
        </w:rPr>
      </w:pPr>
      <w:r>
        <w:rPr>
          <w:rFonts w:ascii="Times New Roman" w:cs="Times New Roman" w:eastAsia="Times New Roman" w:hAnsi="Times New Roman"/>
          <w:sz w:val="28"/>
          <w:szCs w:val="28"/>
          <w:color w:val="auto"/>
        </w:rPr>
        <w:t>объявленная прибыль компании-аналога до процентов и налогов равна 1,5 млн. руб., процентные платежи этой компании в отчетном периоде были 100 000 руб., уплаченные налоги на прибыль - 450 000 руб.;</w:t>
      </w:r>
    </w:p>
    <w:p>
      <w:pPr>
        <w:spacing w:after="0" w:line="4" w:lineRule="exact"/>
        <w:rPr>
          <w:rFonts w:ascii="Symbol" w:cs="Symbol" w:eastAsia="Symbol" w:hAnsi="Symbol"/>
          <w:sz w:val="28"/>
          <w:szCs w:val="28"/>
          <w:color w:val="auto"/>
        </w:rPr>
      </w:pPr>
    </w:p>
    <w:p>
      <w:pPr>
        <w:jc w:val="both"/>
        <w:ind w:left="1320" w:hanging="350"/>
        <w:spacing w:after="0" w:line="247" w:lineRule="auto"/>
        <w:tabs>
          <w:tab w:leader="none" w:pos="1320" w:val="left"/>
        </w:tabs>
        <w:numPr>
          <w:ilvl w:val="0"/>
          <w:numId w:val="57"/>
        </w:numPr>
        <w:rPr>
          <w:rFonts w:ascii="Symbol" w:cs="Symbol" w:eastAsia="Symbol" w:hAnsi="Symbol"/>
          <w:sz w:val="28"/>
          <w:szCs w:val="28"/>
          <w:color w:val="auto"/>
        </w:rPr>
      </w:pPr>
      <w:r>
        <w:rPr>
          <w:rFonts w:ascii="Times New Roman" w:cs="Times New Roman" w:eastAsia="Times New Roman" w:hAnsi="Times New Roman"/>
          <w:sz w:val="28"/>
          <w:szCs w:val="28"/>
          <w:color w:val="auto"/>
        </w:rPr>
        <w:t>прибыль оцениваемой компании до процентов и налогов равна 1,2 млн. руб., процентные платежи этой компании в отчетном периоде были 230 000 руб., уплаченные налоги с прибыли - 360 000 руб.</w:t>
      </w:r>
    </w:p>
    <w:p>
      <w:pPr>
        <w:spacing w:after="0" w:line="272" w:lineRule="exact"/>
        <w:rPr>
          <w:sz w:val="20"/>
          <w:szCs w:val="20"/>
          <w:color w:val="auto"/>
        </w:rPr>
      </w:pPr>
    </w:p>
    <w:p>
      <w:pPr>
        <w:ind w:left="980"/>
        <w:spacing w:after="0"/>
        <w:rPr>
          <w:sz w:val="20"/>
          <w:szCs w:val="20"/>
          <w:color w:val="auto"/>
        </w:rPr>
      </w:pPr>
      <w:r>
        <w:rPr>
          <w:rFonts w:ascii="Times New Roman" w:cs="Times New Roman" w:eastAsia="Times New Roman" w:hAnsi="Times New Roman"/>
          <w:sz w:val="28"/>
          <w:szCs w:val="28"/>
          <w:u w:val="single" w:color="auto"/>
          <w:color w:val="auto"/>
        </w:rPr>
        <w:t>Решение.</w:t>
      </w:r>
    </w:p>
    <w:p>
      <w:pPr>
        <w:spacing w:after="0" w:line="1" w:lineRule="exact"/>
        <w:rPr>
          <w:sz w:val="20"/>
          <w:szCs w:val="20"/>
          <w:color w:val="auto"/>
        </w:rPr>
      </w:pPr>
    </w:p>
    <w:p>
      <w:pPr>
        <w:ind w:left="1320" w:hanging="338"/>
        <w:spacing w:after="0"/>
        <w:tabs>
          <w:tab w:leader="none" w:pos="1320" w:val="left"/>
        </w:tabs>
        <w:numPr>
          <w:ilvl w:val="0"/>
          <w:numId w:val="5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Оцениваемая компания и компания-аналог не сопоставимы как по</w:t>
      </w:r>
    </w:p>
    <w:p>
      <w:pPr>
        <w:sectPr>
          <w:pgSz w:w="11900" w:h="16840" w:orient="portrait"/>
          <w:cols w:equalWidth="0" w:num="1">
            <w:col w:w="9620"/>
          </w:cols>
          <w:pgMar w:left="1440" w:top="1112" w:right="844" w:bottom="163" w:gutter="0" w:footer="0" w:header="0"/>
        </w:sectPr>
      </w:pPr>
    </w:p>
    <w:p>
      <w:pPr>
        <w:spacing w:after="0" w:line="200" w:lineRule="exact"/>
        <w:rPr>
          <w:sz w:val="20"/>
          <w:szCs w:val="20"/>
          <w:color w:val="auto"/>
        </w:rPr>
      </w:pPr>
    </w:p>
    <w:p>
      <w:pPr>
        <w:spacing w:after="0" w:line="216" w:lineRule="exact"/>
        <w:rPr>
          <w:sz w:val="20"/>
          <w:szCs w:val="20"/>
          <w:color w:val="auto"/>
        </w:rPr>
      </w:pPr>
    </w:p>
    <w:p>
      <w:pPr>
        <w:ind w:left="9380"/>
        <w:spacing w:after="0"/>
        <w:rPr>
          <w:sz w:val="20"/>
          <w:szCs w:val="20"/>
          <w:color w:val="auto"/>
        </w:rPr>
      </w:pPr>
      <w:r>
        <w:rPr>
          <w:rFonts w:ascii="Times New Roman" w:cs="Times New Roman" w:eastAsia="Times New Roman" w:hAnsi="Times New Roman"/>
          <w:sz w:val="24"/>
          <w:szCs w:val="24"/>
          <w:color w:val="auto"/>
        </w:rPr>
        <w:t>20</w:t>
      </w:r>
    </w:p>
    <w:p>
      <w:pPr>
        <w:sectPr>
          <w:pgSz w:w="11900" w:h="16840" w:orient="portrait"/>
          <w:cols w:equalWidth="0" w:num="1">
            <w:col w:w="9620"/>
          </w:cols>
          <w:pgMar w:left="1440" w:top="1112" w:right="844" w:bottom="163" w:gutter="0" w:footer="0" w:header="0"/>
          <w:type w:val="continuous"/>
        </w:sectPr>
      </w:pPr>
    </w:p>
    <w:p>
      <w:pPr>
        <w:jc w:val="both"/>
        <w:ind w:left="260"/>
        <w:spacing w:after="0"/>
        <w:rPr>
          <w:sz w:val="20"/>
          <w:szCs w:val="20"/>
          <w:color w:val="auto"/>
        </w:rPr>
      </w:pPr>
      <w:r>
        <w:rPr>
          <w:rFonts w:ascii="Times New Roman" w:cs="Times New Roman" w:eastAsia="Times New Roman" w:hAnsi="Times New Roman"/>
          <w:sz w:val="28"/>
          <w:szCs w:val="28"/>
          <w:color w:val="auto"/>
        </w:rPr>
        <w:t>общей абсолютной величине используемого ими заемного капитала (одинаковость его доли в балансовой стоимости компаний не имеет значения, так как балансовые стоимости компаний, которые выступают составной частью балансовой стоимости капитала компаний, являются результатами вычитания заемного капитала из трудно сопоставимых и определяемых применяемыми методами амортизации остаточных балансовых стоимостей их активов), так и по стоимости используемого кредита, а также по уплачиваемым ими налогам (информация о налоговом статусе компаний отсутствует). Следовательно, для определения обоснованной рыночной стоимости оцениваемой компании методом рынка капитала следует использовать соотношение - «Цена компании-аналога + Заемный капитал компании-аналога)/ Прибыль компании-аналога до процентов и налогов».</w:t>
      </w:r>
    </w:p>
    <w:p>
      <w:pPr>
        <w:jc w:val="both"/>
        <w:ind w:left="260" w:firstLine="729"/>
        <w:spacing w:after="0" w:line="239" w:lineRule="auto"/>
        <w:tabs>
          <w:tab w:leader="none" w:pos="1354" w:val="left"/>
        </w:tabs>
        <w:numPr>
          <w:ilvl w:val="1"/>
          <w:numId w:val="5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Непосредственно наблюдаемая на рынке цена компании-аналога равна произведению рыночной цены одной ее акции на количество ее акций</w:t>
      </w:r>
    </w:p>
    <w:p>
      <w:pPr>
        <w:spacing w:after="0" w:line="1" w:lineRule="exact"/>
        <w:rPr>
          <w:rFonts w:ascii="Times New Roman" w:cs="Times New Roman" w:eastAsia="Times New Roman" w:hAnsi="Times New Roman"/>
          <w:sz w:val="28"/>
          <w:szCs w:val="28"/>
          <w:color w:val="auto"/>
        </w:rPr>
      </w:pPr>
    </w:p>
    <w:p>
      <w:pPr>
        <w:jc w:val="both"/>
        <w:ind w:left="260" w:firstLine="9"/>
        <w:spacing w:after="0" w:line="255" w:lineRule="auto"/>
        <w:tabs>
          <w:tab w:leader="none" w:pos="492" w:val="left"/>
        </w:tabs>
        <w:numPr>
          <w:ilvl w:val="0"/>
          <w:numId w:val="5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обращении, т.е. на общее количество акций компании-аналога за вычетом выкупленных ею самой акций и неразмещенных акций (в данном случае - неоплаченных и, таким образом, не размещенных фактически) и составляет:</w:t>
      </w:r>
    </w:p>
    <w:p>
      <w:pPr>
        <w:spacing w:after="0" w:line="263" w:lineRule="exact"/>
        <w:rPr>
          <w:sz w:val="20"/>
          <w:szCs w:val="20"/>
          <w:color w:val="auto"/>
        </w:rPr>
      </w:pPr>
    </w:p>
    <w:p>
      <w:pPr>
        <w:ind w:left="2020"/>
        <w:spacing w:after="0"/>
        <w:rPr>
          <w:sz w:val="20"/>
          <w:szCs w:val="20"/>
          <w:color w:val="auto"/>
        </w:rPr>
      </w:pPr>
      <w:r>
        <w:rPr>
          <w:rFonts w:ascii="Times New Roman" w:cs="Times New Roman" w:eastAsia="Times New Roman" w:hAnsi="Times New Roman"/>
          <w:sz w:val="28"/>
          <w:szCs w:val="28"/>
          <w:color w:val="auto"/>
        </w:rPr>
        <w:t>113 · (200 000 - 50 000 - 20 000) = 14 690 000 руб.</w:t>
      </w:r>
    </w:p>
    <w:p>
      <w:pPr>
        <w:spacing w:after="0" w:line="321" w:lineRule="exact"/>
        <w:rPr>
          <w:sz w:val="20"/>
          <w:szCs w:val="20"/>
          <w:color w:val="auto"/>
        </w:rPr>
      </w:pPr>
    </w:p>
    <w:p>
      <w:pPr>
        <w:jc w:val="both"/>
        <w:ind w:left="300" w:firstLine="725"/>
        <w:spacing w:after="0"/>
        <w:tabs>
          <w:tab w:leader="none" w:pos="1300" w:val="left"/>
        </w:tabs>
        <w:numPr>
          <w:ilvl w:val="0"/>
          <w:numId w:val="6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Перенесение указанного соотношения на оцениваемую компанию требует его умножения на показатель прибыли оцениваемой компании также до вычета из нее процентов и налогов.</w:t>
      </w:r>
    </w:p>
    <w:p>
      <w:pPr>
        <w:jc w:val="both"/>
        <w:ind w:left="300" w:firstLine="725"/>
        <w:spacing w:after="0"/>
        <w:tabs>
          <w:tab w:leader="none" w:pos="1300" w:val="left"/>
        </w:tabs>
        <w:numPr>
          <w:ilvl w:val="0"/>
          <w:numId w:val="6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Результат этого перемножения даст по исследуемой компании оценку величины, имеющей ту же структуру, что и числитель в соотношении, которое применялось как база по компании-аналогу, т.е. величину предполагаемой цены рассматриваемой фирмы плюс используемый в ней заемный капитал.</w:t>
      </w:r>
    </w:p>
    <w:p>
      <w:pPr>
        <w:jc w:val="both"/>
        <w:ind w:left="300" w:firstLine="725"/>
        <w:spacing w:after="0" w:line="239" w:lineRule="auto"/>
        <w:tabs>
          <w:tab w:leader="none" w:pos="1300" w:val="left"/>
        </w:tabs>
        <w:numPr>
          <w:ilvl w:val="0"/>
          <w:numId w:val="6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Для того чтобы получить искомую обоснованную рыночную стоимость оцениваемой компании, необходимо результат перемножения, описывавшегося выше на шаге 3 решения задачи, уменьшить на величину заемного капитала оцениваемой компании.</w:t>
      </w:r>
    </w:p>
    <w:p>
      <w:pPr>
        <w:spacing w:after="0" w:line="5" w:lineRule="exact"/>
        <w:rPr>
          <w:rFonts w:ascii="Times New Roman" w:cs="Times New Roman" w:eastAsia="Times New Roman" w:hAnsi="Times New Roman"/>
          <w:sz w:val="28"/>
          <w:szCs w:val="28"/>
          <w:color w:val="auto"/>
        </w:rPr>
      </w:pPr>
    </w:p>
    <w:p>
      <w:pPr>
        <w:ind w:left="1300" w:hanging="275"/>
        <w:spacing w:after="0"/>
        <w:tabs>
          <w:tab w:leader="none" w:pos="1300" w:val="left"/>
        </w:tabs>
        <w:numPr>
          <w:ilvl w:val="0"/>
          <w:numId w:val="6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Таким образом, численно решение задачи выглядит так:</w:t>
      </w:r>
    </w:p>
    <w:p>
      <w:pPr>
        <w:spacing w:after="0" w:line="192" w:lineRule="exact"/>
        <w:rPr>
          <w:sz w:val="20"/>
          <w:szCs w:val="20"/>
          <w:color w:val="auto"/>
        </w:rPr>
      </w:pPr>
    </w:p>
    <w:p>
      <w:pPr>
        <w:ind w:left="280"/>
        <w:spacing w:after="0"/>
        <w:rPr>
          <w:sz w:val="20"/>
          <w:szCs w:val="20"/>
          <w:color w:val="auto"/>
        </w:rPr>
      </w:pPr>
      <w:r>
        <w:rPr>
          <w:rFonts w:ascii="Times New Roman" w:cs="Times New Roman" w:eastAsia="Times New Roman" w:hAnsi="Times New Roman"/>
          <w:sz w:val="27"/>
          <w:szCs w:val="27"/>
          <w:color w:val="auto"/>
        </w:rPr>
        <w:t>Ц</w:t>
      </w:r>
      <w:r>
        <w:rPr>
          <w:rFonts w:ascii="Times New Roman" w:cs="Times New Roman" w:eastAsia="Times New Roman" w:hAnsi="Times New Roman"/>
          <w:sz w:val="35"/>
          <w:szCs w:val="35"/>
          <w:color w:val="auto"/>
          <w:vertAlign w:val="subscript"/>
        </w:rPr>
        <w:t>ок</w:t>
      </w:r>
      <w:r>
        <w:rPr>
          <w:rFonts w:ascii="Times New Roman" w:cs="Times New Roman" w:eastAsia="Times New Roman" w:hAnsi="Times New Roman"/>
          <w:sz w:val="27"/>
          <w:szCs w:val="27"/>
          <w:color w:val="auto"/>
        </w:rPr>
        <w:t>=1 200 000·[(14 690 000+10 000 000)/1 500 000] - 5 000 000=14 752 000 руб.</w:t>
      </w:r>
    </w:p>
    <w:p>
      <w:pPr>
        <w:spacing w:after="0" w:line="372" w:lineRule="exact"/>
        <w:rPr>
          <w:sz w:val="20"/>
          <w:szCs w:val="20"/>
          <w:color w:val="auto"/>
        </w:rPr>
      </w:pPr>
    </w:p>
    <w:p>
      <w:pPr>
        <w:jc w:val="both"/>
        <w:ind w:left="300" w:right="20" w:firstLine="720"/>
        <w:spacing w:after="0"/>
        <w:rPr>
          <w:sz w:val="20"/>
          <w:szCs w:val="20"/>
          <w:color w:val="auto"/>
        </w:rPr>
      </w:pPr>
      <w:r>
        <w:rPr>
          <w:rFonts w:ascii="Times New Roman" w:cs="Times New Roman" w:eastAsia="Times New Roman" w:hAnsi="Times New Roman"/>
          <w:sz w:val="28"/>
          <w:szCs w:val="28"/>
          <w:u w:val="single" w:color="auto"/>
          <w:color w:val="auto"/>
        </w:rPr>
        <w:t>Задача</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u w:val="single" w:color="auto"/>
          <w:color w:val="auto"/>
        </w:rPr>
        <w:t>2.3.</w:t>
      </w:r>
      <w:r>
        <w:rPr>
          <w:rFonts w:ascii="Times New Roman" w:cs="Times New Roman" w:eastAsia="Times New Roman" w:hAnsi="Times New Roman"/>
          <w:sz w:val="28"/>
          <w:szCs w:val="28"/>
          <w:color w:val="auto"/>
        </w:rPr>
        <w:t xml:space="preserve"> Оценить ожидаемый коэффициент «Цена/Прибыль» для открытой компании на момент до широкой публикации ее финансовых результатов за отчетный 2007 г., если известно, что:</w:t>
      </w:r>
    </w:p>
    <w:tbl>
      <w:tblPr>
        <w:tblLayout w:type="fixed"/>
        <w:tblInd w:w="980" w:type="dxa"/>
        <w:tblCellMar>
          <w:top w:w="0" w:type="dxa"/>
          <w:left w:w="0" w:type="dxa"/>
          <w:bottom w:w="0" w:type="dxa"/>
          <w:right w:w="0" w:type="dxa"/>
        </w:tblCellMar>
      </w:tblPr>
      <w:tr>
        <w:trPr>
          <w:trHeight w:val="322"/>
        </w:trPr>
        <w:tc>
          <w:tcPr>
            <w:tcW w:w="5660" w:type="dxa"/>
            <w:vAlign w:val="bottom"/>
          </w:tcPr>
          <w:p>
            <w:pPr>
              <w:spacing w:after="0"/>
              <w:rPr>
                <w:sz w:val="20"/>
                <w:szCs w:val="20"/>
                <w:color w:val="auto"/>
              </w:rPr>
            </w:pPr>
            <w:r>
              <w:rPr>
                <w:rFonts w:ascii="Times New Roman" w:cs="Times New Roman" w:eastAsia="Times New Roman" w:hAnsi="Times New Roman"/>
                <w:sz w:val="28"/>
                <w:szCs w:val="28"/>
                <w:color w:val="auto"/>
              </w:rPr>
              <w:t>прибыль за 2007 г., руб.</w:t>
            </w:r>
          </w:p>
        </w:tc>
        <w:tc>
          <w:tcPr>
            <w:tcW w:w="2040" w:type="dxa"/>
            <w:vAlign w:val="bottom"/>
            <w:gridSpan w:val="2"/>
          </w:tcPr>
          <w:p>
            <w:pPr>
              <w:jc w:val="right"/>
              <w:spacing w:after="0"/>
              <w:rPr>
                <w:sz w:val="20"/>
                <w:szCs w:val="20"/>
                <w:color w:val="auto"/>
              </w:rPr>
            </w:pPr>
            <w:r>
              <w:rPr>
                <w:rFonts w:ascii="Times New Roman" w:cs="Times New Roman" w:eastAsia="Times New Roman" w:hAnsi="Times New Roman"/>
                <w:sz w:val="28"/>
                <w:szCs w:val="28"/>
                <w:color w:val="auto"/>
              </w:rPr>
              <w:t>27 000 000;</w:t>
            </w:r>
          </w:p>
        </w:tc>
      </w:tr>
      <w:tr>
        <w:trPr>
          <w:trHeight w:val="323"/>
        </w:trPr>
        <w:tc>
          <w:tcPr>
            <w:tcW w:w="5660" w:type="dxa"/>
            <w:vAlign w:val="bottom"/>
          </w:tcPr>
          <w:p>
            <w:pPr>
              <w:spacing w:after="0"/>
              <w:rPr>
                <w:sz w:val="20"/>
                <w:szCs w:val="20"/>
                <w:color w:val="auto"/>
              </w:rPr>
            </w:pPr>
            <w:r>
              <w:rPr>
                <w:rFonts w:ascii="Times New Roman" w:cs="Times New Roman" w:eastAsia="Times New Roman" w:hAnsi="Times New Roman"/>
                <w:sz w:val="28"/>
                <w:szCs w:val="28"/>
                <w:color w:val="auto"/>
              </w:rPr>
              <w:t>прибыль, прогнозируемая на 2008 г., руб.</w:t>
            </w:r>
          </w:p>
        </w:tc>
        <w:tc>
          <w:tcPr>
            <w:tcW w:w="2040" w:type="dxa"/>
            <w:vAlign w:val="bottom"/>
            <w:gridSpan w:val="2"/>
          </w:tcPr>
          <w:p>
            <w:pPr>
              <w:jc w:val="right"/>
              <w:spacing w:after="0"/>
              <w:rPr>
                <w:sz w:val="20"/>
                <w:szCs w:val="20"/>
                <w:color w:val="auto"/>
              </w:rPr>
            </w:pPr>
            <w:r>
              <w:rPr>
                <w:rFonts w:ascii="Times New Roman" w:cs="Times New Roman" w:eastAsia="Times New Roman" w:hAnsi="Times New Roman"/>
                <w:sz w:val="28"/>
                <w:szCs w:val="28"/>
                <w:color w:val="auto"/>
              </w:rPr>
              <w:t>29 000 000;</w:t>
            </w:r>
          </w:p>
        </w:tc>
      </w:tr>
      <w:tr>
        <w:trPr>
          <w:trHeight w:val="322"/>
        </w:trPr>
        <w:tc>
          <w:tcPr>
            <w:tcW w:w="5660" w:type="dxa"/>
            <w:vAlign w:val="bottom"/>
          </w:tcPr>
          <w:p>
            <w:pPr>
              <w:spacing w:after="0"/>
              <w:rPr>
                <w:sz w:val="20"/>
                <w:szCs w:val="20"/>
                <w:color w:val="auto"/>
              </w:rPr>
            </w:pPr>
            <w:r>
              <w:rPr>
                <w:rFonts w:ascii="Times New Roman" w:cs="Times New Roman" w:eastAsia="Times New Roman" w:hAnsi="Times New Roman"/>
                <w:sz w:val="28"/>
                <w:szCs w:val="28"/>
                <w:color w:val="auto"/>
              </w:rPr>
              <w:t>ставка дисконта для компании,</w:t>
            </w:r>
          </w:p>
        </w:tc>
        <w:tc>
          <w:tcPr>
            <w:tcW w:w="1100" w:type="dxa"/>
            <w:vAlign w:val="bottom"/>
          </w:tcPr>
          <w:p>
            <w:pPr>
              <w:spacing w:after="0"/>
              <w:rPr>
                <w:sz w:val="24"/>
                <w:szCs w:val="24"/>
                <w:color w:val="auto"/>
              </w:rPr>
            </w:pPr>
          </w:p>
        </w:tc>
        <w:tc>
          <w:tcPr>
            <w:tcW w:w="940" w:type="dxa"/>
            <w:vAlign w:val="bottom"/>
          </w:tcPr>
          <w:p>
            <w:pPr>
              <w:spacing w:after="0"/>
              <w:rPr>
                <w:sz w:val="24"/>
                <w:szCs w:val="24"/>
                <w:color w:val="auto"/>
              </w:rPr>
            </w:pPr>
          </w:p>
        </w:tc>
      </w:tr>
      <w:tr>
        <w:trPr>
          <w:trHeight w:val="322"/>
        </w:trPr>
        <w:tc>
          <w:tcPr>
            <w:tcW w:w="6760" w:type="dxa"/>
            <w:vAlign w:val="bottom"/>
            <w:gridSpan w:val="2"/>
          </w:tcPr>
          <w:p>
            <w:pPr>
              <w:spacing w:after="0"/>
              <w:rPr>
                <w:sz w:val="20"/>
                <w:szCs w:val="20"/>
                <w:color w:val="auto"/>
              </w:rPr>
            </w:pPr>
            <w:r>
              <w:rPr>
                <w:rFonts w:ascii="Times New Roman" w:cs="Times New Roman" w:eastAsia="Times New Roman" w:hAnsi="Times New Roman"/>
                <w:sz w:val="28"/>
                <w:szCs w:val="28"/>
                <w:color w:val="auto"/>
              </w:rPr>
              <w:t>рассчитанная по модели оценки капитальных активов</w:t>
            </w:r>
          </w:p>
        </w:tc>
        <w:tc>
          <w:tcPr>
            <w:tcW w:w="940" w:type="dxa"/>
            <w:vAlign w:val="bottom"/>
          </w:tcPr>
          <w:p>
            <w:pPr>
              <w:jc w:val="right"/>
              <w:spacing w:after="0"/>
              <w:rPr>
                <w:sz w:val="20"/>
                <w:szCs w:val="20"/>
                <w:color w:val="auto"/>
              </w:rPr>
            </w:pPr>
            <w:r>
              <w:rPr>
                <w:rFonts w:ascii="Times New Roman" w:cs="Times New Roman" w:eastAsia="Times New Roman" w:hAnsi="Times New Roman"/>
                <w:sz w:val="28"/>
                <w:szCs w:val="28"/>
                <w:color w:val="auto"/>
              </w:rPr>
              <w:t>25%.</w:t>
            </w:r>
          </w:p>
        </w:tc>
      </w:tr>
    </w:tbl>
    <w:p>
      <w:pPr>
        <w:ind w:left="280" w:right="20" w:firstLine="720"/>
        <w:spacing w:after="0" w:line="271" w:lineRule="auto"/>
        <w:rPr>
          <w:sz w:val="20"/>
          <w:szCs w:val="20"/>
          <w:color w:val="auto"/>
        </w:rPr>
      </w:pPr>
      <w:r>
        <w:rPr>
          <w:rFonts w:ascii="Times New Roman" w:cs="Times New Roman" w:eastAsia="Times New Roman" w:hAnsi="Times New Roman"/>
          <w:sz w:val="28"/>
          <w:szCs w:val="28"/>
          <w:color w:val="auto"/>
        </w:rPr>
        <w:t>Темп роста прибылей компании стабилизирован. Остаточный срок жизни бизнеса компании - неопределенно длительный.</w:t>
      </w:r>
    </w:p>
    <w:p>
      <w:pPr>
        <w:sectPr>
          <w:pgSz w:w="11900" w:h="16840" w:orient="portrait"/>
          <w:cols w:equalWidth="0" w:num="1">
            <w:col w:w="9620"/>
          </w:cols>
          <w:pgMar w:left="1440" w:top="1112" w:right="844" w:bottom="163" w:gutter="0" w:footer="0" w:header="0"/>
        </w:sectPr>
      </w:pPr>
    </w:p>
    <w:p>
      <w:pPr>
        <w:spacing w:after="0" w:line="152" w:lineRule="exact"/>
        <w:rPr>
          <w:sz w:val="20"/>
          <w:szCs w:val="20"/>
          <w:color w:val="auto"/>
        </w:rPr>
      </w:pPr>
    </w:p>
    <w:p>
      <w:pPr>
        <w:ind w:left="9380"/>
        <w:spacing w:after="0"/>
        <w:rPr>
          <w:sz w:val="20"/>
          <w:szCs w:val="20"/>
          <w:color w:val="auto"/>
        </w:rPr>
      </w:pPr>
      <w:r>
        <w:rPr>
          <w:rFonts w:ascii="Times New Roman" w:cs="Times New Roman" w:eastAsia="Times New Roman" w:hAnsi="Times New Roman"/>
          <w:sz w:val="24"/>
          <w:szCs w:val="24"/>
          <w:color w:val="auto"/>
        </w:rPr>
        <w:t>21</w:t>
      </w:r>
    </w:p>
    <w:p>
      <w:pPr>
        <w:sectPr>
          <w:pgSz w:w="11900" w:h="16840" w:orient="portrait"/>
          <w:cols w:equalWidth="0" w:num="1">
            <w:col w:w="9620"/>
          </w:cols>
          <w:pgMar w:left="1440" w:top="1112" w:right="844" w:bottom="163" w:gutter="0" w:footer="0" w:header="0"/>
          <w:type w:val="continuous"/>
        </w:sectPr>
      </w:pPr>
    </w:p>
    <w:p>
      <w:pPr>
        <w:ind w:left="980"/>
        <w:spacing w:after="0"/>
        <w:rPr>
          <w:sz w:val="20"/>
          <w:szCs w:val="20"/>
          <w:color w:val="auto"/>
        </w:rPr>
      </w:pPr>
      <w:r>
        <w:rPr>
          <w:rFonts w:ascii="Times New Roman" w:cs="Times New Roman" w:eastAsia="Times New Roman" w:hAnsi="Times New Roman"/>
          <w:sz w:val="28"/>
          <w:szCs w:val="28"/>
          <w:u w:val="single" w:color="auto"/>
          <w:color w:val="auto"/>
        </w:rPr>
        <w:t>Решение.</w:t>
      </w:r>
    </w:p>
    <w:p>
      <w:pPr>
        <w:jc w:val="both"/>
        <w:ind w:left="260" w:right="40" w:firstLine="729"/>
        <w:spacing w:after="0"/>
        <w:tabs>
          <w:tab w:leader="none" w:pos="1320" w:val="left"/>
        </w:tabs>
        <w:numPr>
          <w:ilvl w:val="1"/>
          <w:numId w:val="6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До выявления на фондовом рынке непосредственно наблюдаемой рыночной цены компании, которая учитывала бы широко объявленные финансовые результаты, можно попытаться оценить ее вероятную величину</w:t>
      </w:r>
    </w:p>
    <w:p>
      <w:pPr>
        <w:jc w:val="both"/>
        <w:ind w:left="260" w:right="40" w:firstLine="9"/>
        <w:spacing w:after="0" w:line="250" w:lineRule="auto"/>
        <w:tabs>
          <w:tab w:leader="none" w:pos="792" w:val="left"/>
        </w:tabs>
        <w:numPr>
          <w:ilvl w:val="0"/>
          <w:numId w:val="6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согласно модели Гордона; для этого необходимо рассчитать (применительно к прибылям 2008 г. как начального года в остаточном периоде бизнеса; прибыли здесь будут использоваться вместо денежных потоков как более грубый измеритель чистых доходов предприятия):</w:t>
      </w:r>
    </w:p>
    <w:p>
      <w:pPr>
        <w:spacing w:after="0" w:line="269" w:lineRule="exact"/>
        <w:rPr>
          <w:sz w:val="20"/>
          <w:szCs w:val="20"/>
          <w:color w:val="auto"/>
        </w:rPr>
      </w:pPr>
    </w:p>
    <w:p>
      <w:pPr>
        <w:jc w:val="center"/>
        <w:ind w:right="-259"/>
        <w:spacing w:after="0"/>
        <w:rPr>
          <w:sz w:val="20"/>
          <w:szCs w:val="20"/>
          <w:color w:val="auto"/>
        </w:rPr>
      </w:pPr>
      <w:r>
        <w:rPr>
          <w:rFonts w:ascii="Times New Roman" w:cs="Times New Roman" w:eastAsia="Times New Roman" w:hAnsi="Times New Roman"/>
          <w:sz w:val="28"/>
          <w:szCs w:val="28"/>
          <w:color w:val="auto"/>
        </w:rPr>
        <w:t>Ц= 29 000 000/(0,25 – а) = 164 772 720 руб.</w:t>
      </w:r>
    </w:p>
    <w:p>
      <w:pPr>
        <w:spacing w:after="0" w:line="321" w:lineRule="exact"/>
        <w:rPr>
          <w:sz w:val="20"/>
          <w:szCs w:val="20"/>
          <w:color w:val="auto"/>
        </w:rPr>
      </w:pPr>
    </w:p>
    <w:p>
      <w:pPr>
        <w:ind w:left="260"/>
        <w:spacing w:after="0" w:line="271" w:lineRule="auto"/>
        <w:rPr>
          <w:sz w:val="20"/>
          <w:szCs w:val="20"/>
          <w:color w:val="auto"/>
        </w:rPr>
      </w:pPr>
      <w:r>
        <w:rPr>
          <w:rFonts w:ascii="Times New Roman" w:cs="Times New Roman" w:eastAsia="Times New Roman" w:hAnsi="Times New Roman"/>
          <w:sz w:val="28"/>
          <w:szCs w:val="28"/>
          <w:color w:val="auto"/>
        </w:rPr>
        <w:t>где а - долгосрочный (стабилизированный) темп роста прибылей компании; из сравнения прибылей за 2007 и 2008 годы он равен:</w:t>
      </w:r>
    </w:p>
    <w:p>
      <w:pPr>
        <w:spacing w:after="0" w:line="239" w:lineRule="exact"/>
        <w:rPr>
          <w:sz w:val="20"/>
          <w:szCs w:val="20"/>
          <w:color w:val="auto"/>
        </w:rPr>
      </w:pPr>
    </w:p>
    <w:p>
      <w:pPr>
        <w:jc w:val="center"/>
        <w:ind w:right="-79"/>
        <w:spacing w:after="0"/>
        <w:rPr>
          <w:sz w:val="20"/>
          <w:szCs w:val="20"/>
          <w:color w:val="auto"/>
        </w:rPr>
      </w:pPr>
      <w:r>
        <w:rPr>
          <w:rFonts w:ascii="Times New Roman" w:cs="Times New Roman" w:eastAsia="Times New Roman" w:hAnsi="Times New Roman"/>
          <w:sz w:val="28"/>
          <w:szCs w:val="28"/>
          <w:color w:val="auto"/>
        </w:rPr>
        <w:t>(29 000 000 - 27 000 000)/27 000 000 = 0,074.</w:t>
      </w:r>
    </w:p>
    <w:p>
      <w:pPr>
        <w:spacing w:after="0" w:line="322" w:lineRule="exact"/>
        <w:rPr>
          <w:sz w:val="20"/>
          <w:szCs w:val="20"/>
          <w:color w:val="auto"/>
        </w:rPr>
      </w:pPr>
    </w:p>
    <w:p>
      <w:pPr>
        <w:jc w:val="both"/>
        <w:ind w:left="260" w:right="40" w:firstLine="722"/>
        <w:spacing w:after="0" w:line="250" w:lineRule="auto"/>
        <w:tabs>
          <w:tab w:leader="none" w:pos="1467" w:val="left"/>
        </w:tabs>
        <w:numPr>
          <w:ilvl w:val="0"/>
          <w:numId w:val="6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Коэффициент «Цена/Прибыль» на рассматриваемый момент времени и рассчитываемый по текущей (в данном случае пока оценочной) цене 100% акций компании, соотнесенной с прибылью за последний завершенный финансовый период, оказывается равен:</w:t>
      </w:r>
    </w:p>
    <w:p>
      <w:pPr>
        <w:spacing w:after="0" w:line="269" w:lineRule="exact"/>
        <w:rPr>
          <w:sz w:val="20"/>
          <w:szCs w:val="20"/>
          <w:color w:val="auto"/>
        </w:rPr>
      </w:pPr>
    </w:p>
    <w:p>
      <w:pPr>
        <w:jc w:val="center"/>
        <w:ind w:right="-259"/>
        <w:spacing w:after="0"/>
        <w:rPr>
          <w:sz w:val="20"/>
          <w:szCs w:val="20"/>
          <w:color w:val="auto"/>
        </w:rPr>
      </w:pPr>
      <w:r>
        <w:rPr>
          <w:rFonts w:ascii="Times New Roman" w:cs="Times New Roman" w:eastAsia="Times New Roman" w:hAnsi="Times New Roman"/>
          <w:sz w:val="28"/>
          <w:szCs w:val="28"/>
          <w:color w:val="auto"/>
        </w:rPr>
        <w:t>164 772 720/27 000 000 = 6,10.</w:t>
      </w:r>
    </w:p>
    <w:p>
      <w:pPr>
        <w:spacing w:after="0" w:line="321" w:lineRule="exact"/>
        <w:rPr>
          <w:sz w:val="20"/>
          <w:szCs w:val="20"/>
          <w:color w:val="auto"/>
        </w:rPr>
      </w:pPr>
    </w:p>
    <w:p>
      <w:pPr>
        <w:jc w:val="center"/>
        <w:ind w:right="-259"/>
        <w:spacing w:after="0"/>
        <w:rPr>
          <w:sz w:val="20"/>
          <w:szCs w:val="20"/>
          <w:color w:val="auto"/>
        </w:rPr>
      </w:pPr>
      <w:r>
        <w:rPr>
          <w:rFonts w:ascii="Times New Roman" w:cs="Times New Roman" w:eastAsia="Times New Roman" w:hAnsi="Times New Roman"/>
          <w:sz w:val="28"/>
          <w:szCs w:val="28"/>
          <w:color w:val="auto"/>
        </w:rPr>
        <w:t>ЗАДАЧИ ДЛЯ САМОСТОЯТЕЛЬНОГО РЕШЕНИЯ</w:t>
      </w:r>
    </w:p>
    <w:p>
      <w:pPr>
        <w:spacing w:after="0" w:line="322" w:lineRule="exact"/>
        <w:rPr>
          <w:sz w:val="20"/>
          <w:szCs w:val="20"/>
          <w:color w:val="auto"/>
        </w:rPr>
      </w:pPr>
    </w:p>
    <w:p>
      <w:pPr>
        <w:jc w:val="both"/>
        <w:ind w:left="280" w:firstLine="702"/>
        <w:spacing w:after="0" w:line="241" w:lineRule="auto"/>
        <w:tabs>
          <w:tab w:leader="none" w:pos="1262" w:val="left"/>
        </w:tabs>
        <w:numPr>
          <w:ilvl w:val="0"/>
          <w:numId w:val="6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бизнес-плане предприятия, создаваемого для освоения коммерчески перспективного нового продукта, значится, что его ожидаемые балансовая прибыль (за вычетом налога на имущество и других обязательных платежей и сборов, взимаемых с балансовой прибыли) и балансовая стоимость активов через год составят соответственно 8 и 20 млн. руб. В этом же документе указано, что предприятие через год будет иметь непогашенных долгов на сумму 3 млн. руб., и за год из не облагаемой налогом части прибыли выплатит процентов по кредитам на сумму 1 млн. руб. Ставка налога на прибыль, закладываемая в бизнес-план, равна 24%. Из опубликованного финансового отчета аналогичного предприятия (полностью специализирующегося на выпуске технически близкого продукта для того же сегмента рынка) следует, что за несколько прошедших лет отношение котируемой на фондовой бирже стоимости одной акции этого предприятия к его приходящейся на одну акцию годовой прибыли после налогообложения оказалось равным в среднем 6,2. Мультипликатор «Цена/Балансовая стоимость» по этому предприятию составил за ряд прошедших лет 3,5. Как должен будет оценить инвестор будущую рыночную стоимость создаваемого предприятия по состоянию на год спустя после начала им деятельности, если инвестор доверяет статистике и сопоставимости сравниваемых фирм по мультипликатору «Цена/Прибыль» на 70% (субъективная оценка), а по</w:t>
      </w:r>
    </w:p>
    <w:p>
      <w:pPr>
        <w:sectPr>
          <w:pgSz w:w="11900" w:h="16840" w:orient="portrait"/>
          <w:cols w:equalWidth="0" w:num="1">
            <w:col w:w="9620"/>
          </w:cols>
          <w:pgMar w:left="1440" w:top="1112" w:right="844" w:bottom="163" w:gutter="0" w:footer="0" w:header="0"/>
        </w:sectPr>
      </w:pPr>
    </w:p>
    <w:p>
      <w:pPr>
        <w:spacing w:after="0" w:line="208" w:lineRule="exact"/>
        <w:rPr>
          <w:sz w:val="20"/>
          <w:szCs w:val="20"/>
          <w:color w:val="auto"/>
        </w:rPr>
      </w:pPr>
    </w:p>
    <w:p>
      <w:pPr>
        <w:ind w:left="9380"/>
        <w:spacing w:after="0"/>
        <w:rPr>
          <w:sz w:val="20"/>
          <w:szCs w:val="20"/>
          <w:color w:val="auto"/>
        </w:rPr>
      </w:pPr>
      <w:r>
        <w:rPr>
          <w:rFonts w:ascii="Times New Roman" w:cs="Times New Roman" w:eastAsia="Times New Roman" w:hAnsi="Times New Roman"/>
          <w:sz w:val="24"/>
          <w:szCs w:val="24"/>
          <w:color w:val="auto"/>
        </w:rPr>
        <w:t>22</w:t>
      </w:r>
    </w:p>
    <w:p>
      <w:pPr>
        <w:sectPr>
          <w:pgSz w:w="11900" w:h="16840" w:orient="portrait"/>
          <w:cols w:equalWidth="0" w:num="1">
            <w:col w:w="9620"/>
          </w:cols>
          <w:pgMar w:left="1440" w:top="1112" w:right="844" w:bottom="163" w:gutter="0" w:footer="0" w:header="0"/>
          <w:type w:val="continuous"/>
        </w:sectPr>
      </w:pPr>
    </w:p>
    <w:p>
      <w:pPr>
        <w:ind w:left="280"/>
        <w:spacing w:after="0" w:line="270" w:lineRule="auto"/>
        <w:rPr>
          <w:sz w:val="20"/>
          <w:szCs w:val="20"/>
          <w:color w:val="auto"/>
        </w:rPr>
      </w:pPr>
      <w:r>
        <w:rPr>
          <w:rFonts w:ascii="Times New Roman" w:cs="Times New Roman" w:eastAsia="Times New Roman" w:hAnsi="Times New Roman"/>
          <w:sz w:val="28"/>
          <w:szCs w:val="28"/>
          <w:color w:val="auto"/>
        </w:rPr>
        <w:t>мультипликатору «Цена/Балансовая стоимость» - на 30% (имея в виду, что в сумме данному методу оценки он доверяет на 100%)?</w:t>
      </w:r>
    </w:p>
    <w:p>
      <w:pPr>
        <w:spacing w:after="0" w:line="242" w:lineRule="exact"/>
        <w:rPr>
          <w:sz w:val="20"/>
          <w:szCs w:val="20"/>
          <w:color w:val="auto"/>
        </w:rPr>
      </w:pPr>
    </w:p>
    <w:p>
      <w:pPr>
        <w:ind w:left="340" w:firstLine="696"/>
        <w:spacing w:after="0" w:line="247" w:lineRule="auto"/>
        <w:tabs>
          <w:tab w:leader="none" w:pos="1378" w:val="left"/>
        </w:tabs>
        <w:numPr>
          <w:ilvl w:val="1"/>
          <w:numId w:val="6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Оценить обоснованную рыночную стоимость закрытой компании, если известно, что:</w:t>
      </w:r>
    </w:p>
    <w:p>
      <w:pPr>
        <w:spacing w:after="0" w:line="2" w:lineRule="exact"/>
        <w:rPr>
          <w:rFonts w:ascii="Times New Roman" w:cs="Times New Roman" w:eastAsia="Times New Roman" w:hAnsi="Times New Roman"/>
          <w:sz w:val="28"/>
          <w:szCs w:val="28"/>
          <w:color w:val="auto"/>
        </w:rPr>
      </w:pPr>
    </w:p>
    <w:p>
      <w:pPr>
        <w:ind w:left="1320" w:hanging="350"/>
        <w:spacing w:after="0" w:line="239" w:lineRule="auto"/>
        <w:tabs>
          <w:tab w:leader="none" w:pos="1320" w:val="left"/>
        </w:tabs>
        <w:numPr>
          <w:ilvl w:val="0"/>
          <w:numId w:val="64"/>
        </w:numPr>
        <w:rPr>
          <w:rFonts w:ascii="Symbol" w:cs="Symbol" w:eastAsia="Symbol" w:hAnsi="Symbol"/>
          <w:sz w:val="28"/>
          <w:szCs w:val="28"/>
          <w:color w:val="auto"/>
        </w:rPr>
      </w:pPr>
      <w:r>
        <w:rPr>
          <w:rFonts w:ascii="Times New Roman" w:cs="Times New Roman" w:eastAsia="Times New Roman" w:hAnsi="Times New Roman"/>
          <w:sz w:val="28"/>
          <w:szCs w:val="28"/>
          <w:color w:val="auto"/>
        </w:rPr>
        <w:t>рыночная стоимость одной акции компании - ближайшего аналога равна 200 руб.;</w:t>
      </w:r>
    </w:p>
    <w:p>
      <w:pPr>
        <w:spacing w:after="0" w:line="1" w:lineRule="exact"/>
        <w:rPr>
          <w:rFonts w:ascii="Symbol" w:cs="Symbol" w:eastAsia="Symbol" w:hAnsi="Symbol"/>
          <w:sz w:val="28"/>
          <w:szCs w:val="28"/>
          <w:color w:val="auto"/>
        </w:rPr>
      </w:pPr>
    </w:p>
    <w:p>
      <w:pPr>
        <w:jc w:val="both"/>
        <w:ind w:left="1320" w:hanging="350"/>
        <w:spacing w:after="0" w:line="239" w:lineRule="auto"/>
        <w:tabs>
          <w:tab w:leader="none" w:pos="1320" w:val="left"/>
        </w:tabs>
        <w:numPr>
          <w:ilvl w:val="0"/>
          <w:numId w:val="64"/>
        </w:numPr>
        <w:rPr>
          <w:rFonts w:ascii="Symbol" w:cs="Symbol" w:eastAsia="Symbol" w:hAnsi="Symbol"/>
          <w:sz w:val="28"/>
          <w:szCs w:val="28"/>
          <w:color w:val="auto"/>
        </w:rPr>
      </w:pPr>
      <w:r>
        <w:rPr>
          <w:rFonts w:ascii="Times New Roman" w:cs="Times New Roman" w:eastAsia="Times New Roman" w:hAnsi="Times New Roman"/>
          <w:sz w:val="28"/>
          <w:szCs w:val="28"/>
          <w:color w:val="auto"/>
        </w:rPr>
        <w:t>общее количество акций компании-аналога, указанное в ее опубликованном финансовом отчете, составляет 300 000 акций, из них 80 000 выкуплено компанией и 50 000 ранее выпущенных акций приобретено, но еще не оплачено;</w:t>
      </w:r>
    </w:p>
    <w:p>
      <w:pPr>
        <w:spacing w:after="0" w:line="4" w:lineRule="exact"/>
        <w:rPr>
          <w:rFonts w:ascii="Symbol" w:cs="Symbol" w:eastAsia="Symbol" w:hAnsi="Symbol"/>
          <w:sz w:val="28"/>
          <w:szCs w:val="28"/>
          <w:color w:val="auto"/>
        </w:rPr>
      </w:pPr>
    </w:p>
    <w:p>
      <w:pPr>
        <w:jc w:val="both"/>
        <w:ind w:left="1320" w:hanging="350"/>
        <w:spacing w:after="0" w:line="239" w:lineRule="auto"/>
        <w:tabs>
          <w:tab w:leader="none" w:pos="1320" w:val="left"/>
        </w:tabs>
        <w:numPr>
          <w:ilvl w:val="0"/>
          <w:numId w:val="64"/>
        </w:numPr>
        <w:rPr>
          <w:rFonts w:ascii="Symbol" w:cs="Symbol" w:eastAsia="Symbol" w:hAnsi="Symbol"/>
          <w:sz w:val="28"/>
          <w:szCs w:val="28"/>
          <w:color w:val="auto"/>
        </w:rPr>
      </w:pPr>
      <w:r>
        <w:rPr>
          <w:rFonts w:ascii="Times New Roman" w:cs="Times New Roman" w:eastAsia="Times New Roman" w:hAnsi="Times New Roman"/>
          <w:sz w:val="28"/>
          <w:szCs w:val="28"/>
          <w:color w:val="auto"/>
        </w:rPr>
        <w:t>доли заемного капитала оцениваемой компании и компании-аналога в балансовой стоимости их совокупного капитала одинаковы, а общие абсолютные размеры их задолженности составляют соответственно 8 и 16 млн. руб.;</w:t>
      </w:r>
    </w:p>
    <w:p>
      <w:pPr>
        <w:spacing w:after="0" w:line="4" w:lineRule="exact"/>
        <w:rPr>
          <w:rFonts w:ascii="Symbol" w:cs="Symbol" w:eastAsia="Symbol" w:hAnsi="Symbol"/>
          <w:sz w:val="28"/>
          <w:szCs w:val="28"/>
          <w:color w:val="auto"/>
        </w:rPr>
      </w:pPr>
    </w:p>
    <w:p>
      <w:pPr>
        <w:jc w:val="both"/>
        <w:ind w:left="1320" w:hanging="350"/>
        <w:spacing w:after="0" w:line="239" w:lineRule="auto"/>
        <w:tabs>
          <w:tab w:leader="none" w:pos="1320" w:val="left"/>
        </w:tabs>
        <w:numPr>
          <w:ilvl w:val="0"/>
          <w:numId w:val="64"/>
        </w:numPr>
        <w:rPr>
          <w:rFonts w:ascii="Symbol" w:cs="Symbol" w:eastAsia="Symbol" w:hAnsi="Symbol"/>
          <w:sz w:val="28"/>
          <w:szCs w:val="28"/>
          <w:color w:val="auto"/>
        </w:rPr>
      </w:pPr>
      <w:r>
        <w:rPr>
          <w:rFonts w:ascii="Times New Roman" w:cs="Times New Roman" w:eastAsia="Times New Roman" w:hAnsi="Times New Roman"/>
          <w:sz w:val="28"/>
          <w:szCs w:val="28"/>
          <w:color w:val="auto"/>
        </w:rPr>
        <w:t>средние ставки процента по кредитам, которыми пользуются рассматриваемые фирмы, таковы, что средняя кредитная ставка по оцениваемой компании такая же, что и по компании-аналогу;</w:t>
      </w:r>
    </w:p>
    <w:p>
      <w:pPr>
        <w:spacing w:after="0" w:line="3" w:lineRule="exact"/>
        <w:rPr>
          <w:rFonts w:ascii="Symbol" w:cs="Symbol" w:eastAsia="Symbol" w:hAnsi="Symbol"/>
          <w:sz w:val="28"/>
          <w:szCs w:val="28"/>
          <w:color w:val="auto"/>
        </w:rPr>
      </w:pPr>
    </w:p>
    <w:p>
      <w:pPr>
        <w:ind w:left="1320" w:hanging="350"/>
        <w:spacing w:after="0" w:line="239" w:lineRule="auto"/>
        <w:tabs>
          <w:tab w:leader="none" w:pos="1320" w:val="left"/>
        </w:tabs>
        <w:numPr>
          <w:ilvl w:val="0"/>
          <w:numId w:val="64"/>
        </w:numPr>
        <w:rPr>
          <w:rFonts w:ascii="Symbol" w:cs="Symbol" w:eastAsia="Symbol" w:hAnsi="Symbol"/>
          <w:sz w:val="28"/>
          <w:szCs w:val="28"/>
          <w:color w:val="auto"/>
        </w:rPr>
      </w:pPr>
      <w:r>
        <w:rPr>
          <w:rFonts w:ascii="Times New Roman" w:cs="Times New Roman" w:eastAsia="Times New Roman" w:hAnsi="Times New Roman"/>
          <w:sz w:val="28"/>
          <w:szCs w:val="28"/>
          <w:color w:val="auto"/>
        </w:rPr>
        <w:t>сведений о налоговом статусе (в частности, о налоговых льготах) компаний не имеется;</w:t>
      </w:r>
    </w:p>
    <w:p>
      <w:pPr>
        <w:spacing w:after="0" w:line="1" w:lineRule="exact"/>
        <w:rPr>
          <w:rFonts w:ascii="Symbol" w:cs="Symbol" w:eastAsia="Symbol" w:hAnsi="Symbol"/>
          <w:sz w:val="28"/>
          <w:szCs w:val="28"/>
          <w:color w:val="auto"/>
        </w:rPr>
      </w:pPr>
    </w:p>
    <w:p>
      <w:pPr>
        <w:jc w:val="both"/>
        <w:ind w:left="1320" w:hanging="350"/>
        <w:spacing w:after="0" w:line="239" w:lineRule="auto"/>
        <w:tabs>
          <w:tab w:leader="none" w:pos="1320" w:val="left"/>
        </w:tabs>
        <w:numPr>
          <w:ilvl w:val="0"/>
          <w:numId w:val="64"/>
        </w:numPr>
        <w:rPr>
          <w:rFonts w:ascii="Symbol" w:cs="Symbol" w:eastAsia="Symbol" w:hAnsi="Symbol"/>
          <w:sz w:val="28"/>
          <w:szCs w:val="28"/>
          <w:color w:val="auto"/>
        </w:rPr>
      </w:pPr>
      <w:r>
        <w:rPr>
          <w:rFonts w:ascii="Times New Roman" w:cs="Times New Roman" w:eastAsia="Times New Roman" w:hAnsi="Times New Roman"/>
          <w:sz w:val="28"/>
          <w:szCs w:val="28"/>
          <w:color w:val="auto"/>
        </w:rPr>
        <w:t>объявленная прибыль компании-аналога до процентов и налогов равна 2,6 млн. руб., процентные платежи этой компании в отчетном периоде были 150 000 руб., уплаченные налоги на прибыль - 575 000 руб.;</w:t>
      </w:r>
    </w:p>
    <w:p>
      <w:pPr>
        <w:spacing w:after="0" w:line="4" w:lineRule="exact"/>
        <w:rPr>
          <w:rFonts w:ascii="Symbol" w:cs="Symbol" w:eastAsia="Symbol" w:hAnsi="Symbol"/>
          <w:sz w:val="28"/>
          <w:szCs w:val="28"/>
          <w:color w:val="auto"/>
        </w:rPr>
      </w:pPr>
    </w:p>
    <w:p>
      <w:pPr>
        <w:jc w:val="both"/>
        <w:ind w:left="1320" w:hanging="350"/>
        <w:spacing w:after="0" w:line="247" w:lineRule="auto"/>
        <w:tabs>
          <w:tab w:leader="none" w:pos="1320" w:val="left"/>
        </w:tabs>
        <w:numPr>
          <w:ilvl w:val="0"/>
          <w:numId w:val="64"/>
        </w:numPr>
        <w:rPr>
          <w:rFonts w:ascii="Symbol" w:cs="Symbol" w:eastAsia="Symbol" w:hAnsi="Symbol"/>
          <w:sz w:val="28"/>
          <w:szCs w:val="28"/>
          <w:color w:val="auto"/>
        </w:rPr>
      </w:pPr>
      <w:r>
        <w:rPr>
          <w:rFonts w:ascii="Times New Roman" w:cs="Times New Roman" w:eastAsia="Times New Roman" w:hAnsi="Times New Roman"/>
          <w:sz w:val="28"/>
          <w:szCs w:val="28"/>
          <w:color w:val="auto"/>
        </w:rPr>
        <w:t>прибыль оцениваемой компании до процентов и налогов равна 1,8 млн. руб., процентные платежи этой компании в отчетном периоде были 150 000 руб., уплаченные налоги на прибыль - 560 000 руб.</w:t>
      </w:r>
    </w:p>
    <w:p>
      <w:pPr>
        <w:spacing w:after="0" w:line="271" w:lineRule="exact"/>
        <w:rPr>
          <w:rFonts w:ascii="Symbol" w:cs="Symbol" w:eastAsia="Symbol" w:hAnsi="Symbol"/>
          <w:sz w:val="28"/>
          <w:szCs w:val="28"/>
          <w:color w:val="auto"/>
        </w:rPr>
      </w:pPr>
    </w:p>
    <w:p>
      <w:pPr>
        <w:jc w:val="both"/>
        <w:ind w:left="360" w:right="60" w:firstLine="701"/>
        <w:spacing w:after="0"/>
        <w:tabs>
          <w:tab w:leader="none" w:pos="1384" w:val="left"/>
        </w:tabs>
        <w:numPr>
          <w:ilvl w:val="2"/>
          <w:numId w:val="6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Оценить ожидаемый коэффициент «Цена/Прибыль» для открытой компании на момент до широкой публикации ее финансовых результатов за отчетный 2007 г., если известно, что:</w:t>
      </w:r>
    </w:p>
    <w:tbl>
      <w:tblPr>
        <w:tblLayout w:type="fixed"/>
        <w:tblInd w:w="980" w:type="dxa"/>
        <w:tblCellMar>
          <w:top w:w="0" w:type="dxa"/>
          <w:left w:w="0" w:type="dxa"/>
          <w:bottom w:w="0" w:type="dxa"/>
          <w:right w:w="0" w:type="dxa"/>
        </w:tblCellMar>
      </w:tblPr>
      <w:tr>
        <w:trPr>
          <w:trHeight w:val="322"/>
        </w:trPr>
        <w:tc>
          <w:tcPr>
            <w:tcW w:w="5040" w:type="dxa"/>
            <w:vAlign w:val="bottom"/>
          </w:tcPr>
          <w:p>
            <w:pPr>
              <w:spacing w:after="0"/>
              <w:rPr>
                <w:sz w:val="20"/>
                <w:szCs w:val="20"/>
                <w:color w:val="auto"/>
              </w:rPr>
            </w:pPr>
            <w:r>
              <w:rPr>
                <w:rFonts w:ascii="Times New Roman" w:cs="Times New Roman" w:eastAsia="Times New Roman" w:hAnsi="Times New Roman"/>
                <w:sz w:val="28"/>
                <w:szCs w:val="28"/>
                <w:color w:val="auto"/>
              </w:rPr>
              <w:t>прибыль за 2007 г., руб.</w:t>
            </w:r>
          </w:p>
        </w:tc>
        <w:tc>
          <w:tcPr>
            <w:tcW w:w="2020" w:type="dxa"/>
            <w:vAlign w:val="bottom"/>
          </w:tcPr>
          <w:p>
            <w:pPr>
              <w:jc w:val="right"/>
              <w:spacing w:after="0"/>
              <w:rPr>
                <w:sz w:val="20"/>
                <w:szCs w:val="20"/>
                <w:color w:val="auto"/>
              </w:rPr>
            </w:pPr>
            <w:r>
              <w:rPr>
                <w:rFonts w:ascii="Times New Roman" w:cs="Times New Roman" w:eastAsia="Times New Roman" w:hAnsi="Times New Roman"/>
                <w:sz w:val="28"/>
                <w:szCs w:val="28"/>
                <w:color w:val="auto"/>
              </w:rPr>
              <w:t>16 000 000;</w:t>
            </w:r>
          </w:p>
        </w:tc>
      </w:tr>
      <w:tr>
        <w:trPr>
          <w:trHeight w:val="322"/>
        </w:trPr>
        <w:tc>
          <w:tcPr>
            <w:tcW w:w="5040" w:type="dxa"/>
            <w:vAlign w:val="bottom"/>
          </w:tcPr>
          <w:p>
            <w:pPr>
              <w:spacing w:after="0"/>
              <w:rPr>
                <w:sz w:val="20"/>
                <w:szCs w:val="20"/>
                <w:color w:val="auto"/>
              </w:rPr>
            </w:pPr>
            <w:r>
              <w:rPr>
                <w:rFonts w:ascii="Times New Roman" w:cs="Times New Roman" w:eastAsia="Times New Roman" w:hAnsi="Times New Roman"/>
                <w:sz w:val="28"/>
                <w:szCs w:val="28"/>
                <w:color w:val="auto"/>
              </w:rPr>
              <w:t>прибыль, прогнозируемая на 2008 г.</w:t>
            </w:r>
          </w:p>
        </w:tc>
        <w:tc>
          <w:tcPr>
            <w:tcW w:w="2020" w:type="dxa"/>
            <w:vAlign w:val="bottom"/>
          </w:tcPr>
          <w:p>
            <w:pPr>
              <w:jc w:val="right"/>
              <w:spacing w:after="0"/>
              <w:rPr>
                <w:sz w:val="20"/>
                <w:szCs w:val="20"/>
                <w:color w:val="auto"/>
              </w:rPr>
            </w:pPr>
            <w:r>
              <w:rPr>
                <w:rFonts w:ascii="Times New Roman" w:cs="Times New Roman" w:eastAsia="Times New Roman" w:hAnsi="Times New Roman"/>
                <w:sz w:val="28"/>
                <w:szCs w:val="28"/>
                <w:color w:val="auto"/>
              </w:rPr>
              <w:t>17 000 000;</w:t>
            </w:r>
          </w:p>
        </w:tc>
      </w:tr>
      <w:tr>
        <w:trPr>
          <w:trHeight w:val="323"/>
        </w:trPr>
        <w:tc>
          <w:tcPr>
            <w:tcW w:w="5040" w:type="dxa"/>
            <w:vAlign w:val="bottom"/>
          </w:tcPr>
          <w:p>
            <w:pPr>
              <w:spacing w:after="0"/>
              <w:rPr>
                <w:sz w:val="20"/>
                <w:szCs w:val="20"/>
                <w:color w:val="auto"/>
              </w:rPr>
            </w:pPr>
            <w:r>
              <w:rPr>
                <w:rFonts w:ascii="Times New Roman" w:cs="Times New Roman" w:eastAsia="Times New Roman" w:hAnsi="Times New Roman"/>
                <w:sz w:val="28"/>
                <w:szCs w:val="28"/>
                <w:color w:val="auto"/>
              </w:rPr>
              <w:t>ставка дисконта для компании,</w:t>
            </w:r>
          </w:p>
        </w:tc>
        <w:tc>
          <w:tcPr>
            <w:tcW w:w="2020" w:type="dxa"/>
            <w:vAlign w:val="bottom"/>
          </w:tcPr>
          <w:p>
            <w:pPr>
              <w:spacing w:after="0"/>
              <w:rPr>
                <w:sz w:val="24"/>
                <w:szCs w:val="24"/>
                <w:color w:val="auto"/>
              </w:rPr>
            </w:pPr>
          </w:p>
        </w:tc>
      </w:tr>
    </w:tbl>
    <w:p>
      <w:pPr>
        <w:ind w:left="980"/>
        <w:spacing w:after="0"/>
        <w:rPr>
          <w:sz w:val="20"/>
          <w:szCs w:val="20"/>
          <w:color w:val="auto"/>
        </w:rPr>
      </w:pPr>
      <w:r>
        <w:rPr>
          <w:rFonts w:ascii="Times New Roman" w:cs="Times New Roman" w:eastAsia="Times New Roman" w:hAnsi="Times New Roman"/>
          <w:sz w:val="28"/>
          <w:szCs w:val="28"/>
          <w:color w:val="auto"/>
        </w:rPr>
        <w:t>рассчитанная по модели оценки капитальных активов - 16%.</w:t>
      </w:r>
    </w:p>
    <w:p>
      <w:pPr>
        <w:jc w:val="both"/>
        <w:ind w:left="340" w:firstLine="652"/>
        <w:spacing w:after="0" w:line="255" w:lineRule="auto"/>
        <w:rPr>
          <w:sz w:val="20"/>
          <w:szCs w:val="20"/>
          <w:color w:val="auto"/>
        </w:rPr>
      </w:pPr>
      <w:r>
        <w:rPr>
          <w:rFonts w:ascii="Times New Roman" w:cs="Times New Roman" w:eastAsia="Times New Roman" w:hAnsi="Times New Roman"/>
          <w:sz w:val="28"/>
          <w:szCs w:val="28"/>
          <w:color w:val="auto"/>
        </w:rPr>
        <w:t>Темп роста прибылей компании стабилизирован. Остаточный срок жизни бизнеса компании - неопределенно длительный (указанное может допускаться для получения предварительной оценки).</w:t>
      </w:r>
    </w:p>
    <w:p>
      <w:pPr>
        <w:sectPr>
          <w:pgSz w:w="11900" w:h="16840" w:orient="portrait"/>
          <w:cols w:equalWidth="0" w:num="1">
            <w:col w:w="9620"/>
          </w:cols>
          <w:pgMar w:left="1440" w:top="1112" w:right="844" w:bottom="16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8" w:lineRule="exact"/>
        <w:rPr>
          <w:sz w:val="20"/>
          <w:szCs w:val="20"/>
          <w:color w:val="auto"/>
        </w:rPr>
      </w:pPr>
    </w:p>
    <w:p>
      <w:pPr>
        <w:ind w:left="9380"/>
        <w:spacing w:after="0"/>
        <w:rPr>
          <w:sz w:val="20"/>
          <w:szCs w:val="20"/>
          <w:color w:val="auto"/>
        </w:rPr>
      </w:pPr>
      <w:r>
        <w:rPr>
          <w:rFonts w:ascii="Times New Roman" w:cs="Times New Roman" w:eastAsia="Times New Roman" w:hAnsi="Times New Roman"/>
          <w:sz w:val="24"/>
          <w:szCs w:val="24"/>
          <w:color w:val="auto"/>
        </w:rPr>
        <w:t>23</w:t>
      </w:r>
    </w:p>
    <w:p>
      <w:pPr>
        <w:sectPr>
          <w:pgSz w:w="11900" w:h="16840" w:orient="portrait"/>
          <w:cols w:equalWidth="0" w:num="1">
            <w:col w:w="9620"/>
          </w:cols>
          <w:pgMar w:left="1440" w:top="1112" w:right="844" w:bottom="163" w:gutter="0" w:footer="0" w:header="0"/>
          <w:type w:val="continuous"/>
        </w:sectPr>
      </w:pPr>
    </w:p>
    <w:p>
      <w:pPr>
        <w:ind w:left="1320" w:hanging="358"/>
        <w:spacing w:after="0"/>
        <w:tabs>
          <w:tab w:leader="none" w:pos="1320" w:val="left"/>
        </w:tabs>
        <w:numPr>
          <w:ilvl w:val="0"/>
          <w:numId w:val="6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ЗАТРАТНЫЙ ПОДХОД К ОЦЕНКЕ СТОИМОСТИ БИЗНЕСА</w:t>
      </w:r>
    </w:p>
    <w:p>
      <w:pPr>
        <w:spacing w:after="0" w:line="322" w:lineRule="exact"/>
        <w:rPr>
          <w:sz w:val="20"/>
          <w:szCs w:val="20"/>
          <w:color w:val="auto"/>
        </w:rPr>
      </w:pPr>
    </w:p>
    <w:p>
      <w:pPr>
        <w:jc w:val="center"/>
        <w:ind w:right="-259"/>
        <w:spacing w:after="0"/>
        <w:rPr>
          <w:sz w:val="20"/>
          <w:szCs w:val="20"/>
          <w:color w:val="auto"/>
        </w:rPr>
      </w:pPr>
      <w:r>
        <w:rPr>
          <w:rFonts w:ascii="Times New Roman" w:cs="Times New Roman" w:eastAsia="Times New Roman" w:hAnsi="Times New Roman"/>
          <w:sz w:val="28"/>
          <w:szCs w:val="28"/>
          <w:color w:val="auto"/>
        </w:rPr>
        <w:t>ДЕМОНСТРАЦИОННЫЕ ЗАДАЧИ</w:t>
      </w:r>
    </w:p>
    <w:p>
      <w:pPr>
        <w:spacing w:after="0" w:line="321" w:lineRule="exact"/>
        <w:rPr>
          <w:sz w:val="20"/>
          <w:szCs w:val="20"/>
          <w:color w:val="auto"/>
        </w:rPr>
      </w:pPr>
    </w:p>
    <w:p>
      <w:pPr>
        <w:jc w:val="both"/>
        <w:ind w:left="260" w:right="40" w:firstLine="716"/>
        <w:spacing w:after="0" w:line="245" w:lineRule="auto"/>
        <w:rPr>
          <w:sz w:val="20"/>
          <w:szCs w:val="20"/>
          <w:color w:val="auto"/>
        </w:rPr>
      </w:pPr>
      <w:r>
        <w:rPr>
          <w:rFonts w:ascii="Times New Roman" w:cs="Times New Roman" w:eastAsia="Times New Roman" w:hAnsi="Times New Roman"/>
          <w:sz w:val="28"/>
          <w:szCs w:val="28"/>
          <w:u w:val="single" w:color="auto"/>
          <w:color w:val="auto"/>
        </w:rPr>
        <w:t>Задача</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u w:val="single" w:color="auto"/>
          <w:color w:val="auto"/>
        </w:rPr>
        <w:t>3.1.</w:t>
      </w:r>
      <w:r>
        <w:rPr>
          <w:rFonts w:ascii="Times New Roman" w:cs="Times New Roman" w:eastAsia="Times New Roman" w:hAnsi="Times New Roman"/>
          <w:sz w:val="28"/>
          <w:szCs w:val="28"/>
          <w:color w:val="auto"/>
        </w:rPr>
        <w:t xml:space="preserve"> Предприятие оценено методом накопления активов. Его обоснованная рыночная стоимость - 200 млн. руб. На следующий день после получения этой оценки предприятие взяло кредит в 10 млн. руб. На 8 млн. руб. из средств кредита предприятие приобрело оборудования. Ставка процента по кредиту - 20% годовых . Уплата процентов - в конце каждого года. Погашение кредита - через 2 года. Как должна измениться оценка рыночной стоимости предприятия?</w:t>
      </w:r>
    </w:p>
    <w:p>
      <w:pPr>
        <w:spacing w:after="0" w:line="275" w:lineRule="exact"/>
        <w:rPr>
          <w:sz w:val="20"/>
          <w:szCs w:val="20"/>
          <w:color w:val="auto"/>
        </w:rPr>
      </w:pPr>
    </w:p>
    <w:p>
      <w:pPr>
        <w:ind w:left="980"/>
        <w:spacing w:after="0"/>
        <w:rPr>
          <w:sz w:val="20"/>
          <w:szCs w:val="20"/>
          <w:color w:val="auto"/>
        </w:rPr>
      </w:pPr>
      <w:r>
        <w:rPr>
          <w:rFonts w:ascii="Times New Roman" w:cs="Times New Roman" w:eastAsia="Times New Roman" w:hAnsi="Times New Roman"/>
          <w:sz w:val="28"/>
          <w:szCs w:val="28"/>
          <w:u w:val="single" w:color="auto"/>
          <w:color w:val="auto"/>
        </w:rPr>
        <w:t>Решение.</w:t>
      </w:r>
    </w:p>
    <w:p>
      <w:pPr>
        <w:jc w:val="both"/>
        <w:ind w:left="260" w:right="20" w:firstLine="722"/>
        <w:spacing w:after="0"/>
        <w:tabs>
          <w:tab w:leader="none" w:pos="1305" w:val="left"/>
        </w:tabs>
        <w:numPr>
          <w:ilvl w:val="0"/>
          <w:numId w:val="6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 упрощенном применении метода накопления активов следует сравнить увеличение рыночной стоимости активов предприятия после взятия им кредита с увеличением задолженности предприятия. Рыночная стоимость приобретенного по рыночной цене на 8 млн. руб. оборудования сразу после его покупки, когда не успевает сказаться ни один из видов износа оборудования, равняется тоже 8 млн. руб. Оставшиеся от кредита 2 млн. руб. на момент оценки являются «живыми деньгами», и их рыночная стоимость тоже равняется 2 млн. руб. В итоге рыночная стоимость активов в данном случае возросла на 10 млн. руб. На эту же сумму увеличилась и задолженность предприятия. Следовательно, упрощенный вариант метода накопления активов приводит к выводу: стоимость предприятия сразу после взятия кредита не изменилась и по-прежнему составляет 200 млн. руб.</w:t>
      </w:r>
    </w:p>
    <w:p>
      <w:pPr>
        <w:jc w:val="both"/>
        <w:ind w:left="280" w:right="20" w:firstLine="702"/>
        <w:spacing w:after="0" w:line="239" w:lineRule="auto"/>
        <w:tabs>
          <w:tab w:leader="none" w:pos="1475" w:val="left"/>
        </w:tabs>
        <w:numPr>
          <w:ilvl w:val="0"/>
          <w:numId w:val="6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 учетом корректировки кредиторской задолженности при перерасчете ее номинальной суммы на текущую стоимость платежей по обслуживанию кредита и его погашения увеличение рыночной стоимости кредиторской задолженности, которая уменьшает стоимость предприятия, может быть оценено следующим образом.</w:t>
      </w:r>
    </w:p>
    <w:p>
      <w:pPr>
        <w:spacing w:after="0" w:line="6" w:lineRule="exact"/>
        <w:rPr>
          <w:rFonts w:ascii="Times New Roman" w:cs="Times New Roman" w:eastAsia="Times New Roman" w:hAnsi="Times New Roman"/>
          <w:sz w:val="28"/>
          <w:szCs w:val="28"/>
          <w:color w:val="auto"/>
        </w:rPr>
      </w:pPr>
    </w:p>
    <w:p>
      <w:pPr>
        <w:jc w:val="both"/>
        <w:ind w:left="300" w:firstLine="691"/>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Конечно, было бы разумно попытаться прямо рассчитать текущую стоимость указанных выше платежей. Однако для этого в задаче не хватает исходных данных, касающихся ставки дисконта, по которой следует дисконтировать процентные платежи и погашение кредита.</w:t>
      </w:r>
    </w:p>
    <w:p>
      <w:pPr>
        <w:jc w:val="both"/>
        <w:ind w:left="300" w:firstLine="684"/>
        <w:spacing w:after="0" w:line="239"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этой ситуации допустимо предположить, что если предприятие брало кредит на конкурентном рынке банковских кредитов, то, как это бывает на конкурентных рынках, чистая текущая стоимость инвестиционного проекта продавца товара (проекта по поставке товара - в данном случае заемных средств) стремится к нулю. Это означает, что денежные потоки кредитора выглядят так, что его инвестиция в 10 млн. руб. уравновешивается такой же по величине текущей стоимостью поступлений по обслуживанию и погашению кредита.</w:t>
      </w:r>
    </w:p>
    <w:p>
      <w:pPr>
        <w:spacing w:after="0" w:line="10" w:lineRule="exact"/>
        <w:rPr>
          <w:rFonts w:ascii="Times New Roman" w:cs="Times New Roman" w:eastAsia="Times New Roman" w:hAnsi="Times New Roman"/>
          <w:sz w:val="28"/>
          <w:szCs w:val="28"/>
          <w:color w:val="auto"/>
        </w:rPr>
      </w:pPr>
    </w:p>
    <w:p>
      <w:pPr>
        <w:jc w:val="both"/>
        <w:ind w:left="320" w:firstLine="655"/>
        <w:spacing w:after="0" w:line="270"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Но нетрудно заметить, что численно поступления кредитора по обслуживанию и погашению кредита равны тем же платежам заемщика.</w:t>
      </w:r>
    </w:p>
    <w:p>
      <w:pPr>
        <w:sectPr>
          <w:pgSz w:w="11900" w:h="16840" w:orient="portrait"/>
          <w:cols w:equalWidth="0" w:num="1">
            <w:col w:w="9620"/>
          </w:cols>
          <w:pgMar w:left="1440" w:top="1112" w:right="844" w:bottom="163" w:gutter="0" w:footer="0" w:header="0"/>
        </w:sectPr>
      </w:pPr>
    </w:p>
    <w:p>
      <w:pPr>
        <w:spacing w:after="0" w:line="200" w:lineRule="exact"/>
        <w:rPr>
          <w:sz w:val="20"/>
          <w:szCs w:val="20"/>
          <w:color w:val="auto"/>
        </w:rPr>
      </w:pPr>
    </w:p>
    <w:p>
      <w:pPr>
        <w:spacing w:after="0" w:line="277" w:lineRule="exact"/>
        <w:rPr>
          <w:sz w:val="20"/>
          <w:szCs w:val="20"/>
          <w:color w:val="auto"/>
        </w:rPr>
      </w:pPr>
    </w:p>
    <w:p>
      <w:pPr>
        <w:ind w:left="9380"/>
        <w:spacing w:after="0"/>
        <w:rPr>
          <w:sz w:val="20"/>
          <w:szCs w:val="20"/>
          <w:color w:val="auto"/>
        </w:rPr>
      </w:pPr>
      <w:r>
        <w:rPr>
          <w:rFonts w:ascii="Times New Roman" w:cs="Times New Roman" w:eastAsia="Times New Roman" w:hAnsi="Times New Roman"/>
          <w:sz w:val="24"/>
          <w:szCs w:val="24"/>
          <w:color w:val="auto"/>
        </w:rPr>
        <w:t>24</w:t>
      </w:r>
    </w:p>
    <w:p>
      <w:pPr>
        <w:sectPr>
          <w:pgSz w:w="11900" w:h="16840" w:orient="portrait"/>
          <w:cols w:equalWidth="0" w:num="1">
            <w:col w:w="9620"/>
          </w:cols>
          <w:pgMar w:left="1440" w:top="1112" w:right="844" w:bottom="163" w:gutter="0" w:footer="0" w:header="0"/>
          <w:type w:val="continuous"/>
        </w:sectPr>
      </w:pPr>
    </w:p>
    <w:p>
      <w:pPr>
        <w:jc w:val="both"/>
        <w:ind w:left="320" w:right="100"/>
        <w:spacing w:after="0"/>
        <w:rPr>
          <w:sz w:val="20"/>
          <w:szCs w:val="20"/>
          <w:color w:val="auto"/>
        </w:rPr>
      </w:pPr>
      <w:r>
        <w:rPr>
          <w:rFonts w:ascii="Times New Roman" w:cs="Times New Roman" w:eastAsia="Times New Roman" w:hAnsi="Times New Roman"/>
          <w:sz w:val="28"/>
          <w:szCs w:val="28"/>
          <w:color w:val="auto"/>
        </w:rPr>
        <w:t>Следовательно , в этой ситуации текущая стоимость указанных платежей равна также 10 млн. руб.</w:t>
      </w:r>
    </w:p>
    <w:p>
      <w:pPr>
        <w:jc w:val="both"/>
        <w:ind w:left="320" w:right="100" w:firstLine="655"/>
        <w:spacing w:after="0" w:line="239" w:lineRule="auto"/>
        <w:rPr>
          <w:sz w:val="20"/>
          <w:szCs w:val="20"/>
          <w:color w:val="auto"/>
        </w:rPr>
      </w:pPr>
      <w:r>
        <w:rPr>
          <w:rFonts w:ascii="Times New Roman" w:cs="Times New Roman" w:eastAsia="Times New Roman" w:hAnsi="Times New Roman"/>
          <w:sz w:val="28"/>
          <w:szCs w:val="28"/>
          <w:color w:val="auto"/>
        </w:rPr>
        <w:t>Иначе говоря, - применительно к конкурентным кредитным рынкам (если предприятия, например, находятся в Москве или Петербурге, где конкуренция среди многочисленных банков за право заработать на предоставлении кредитов действительно сильна) - увеличение рыночной стоимости активов оцениваемого предприятия в момент, когда оно еще не успело как-либо явно неэффективно или особенно эффективно использовать полученные кредитные ресурсы , уравновешивается увеличением текущей стоимости будущих платежей по обслуживанию и погашению его возросшей кредиторской задолженности.</w:t>
      </w:r>
    </w:p>
    <w:p>
      <w:pPr>
        <w:spacing w:after="0" w:line="11" w:lineRule="exact"/>
        <w:rPr>
          <w:sz w:val="20"/>
          <w:szCs w:val="20"/>
          <w:color w:val="auto"/>
        </w:rPr>
      </w:pPr>
    </w:p>
    <w:p>
      <w:pPr>
        <w:jc w:val="both"/>
        <w:ind w:left="320" w:right="100" w:firstLine="655"/>
        <w:spacing w:after="0" w:line="271" w:lineRule="auto"/>
        <w:rPr>
          <w:sz w:val="20"/>
          <w:szCs w:val="20"/>
          <w:color w:val="auto"/>
        </w:rPr>
      </w:pPr>
      <w:r>
        <w:rPr>
          <w:rFonts w:ascii="Times New Roman" w:cs="Times New Roman" w:eastAsia="Times New Roman" w:hAnsi="Times New Roman"/>
          <w:sz w:val="28"/>
          <w:szCs w:val="28"/>
          <w:color w:val="auto"/>
        </w:rPr>
        <w:t>Таким образом, правильный ответ в задаче предполагает, что рыночная стоимость предприятия не изменилась и осталась на уровне 200 млн. руб.</w:t>
      </w:r>
    </w:p>
    <w:p>
      <w:pPr>
        <w:spacing w:after="0" w:line="239" w:lineRule="exact"/>
        <w:rPr>
          <w:sz w:val="20"/>
          <w:szCs w:val="20"/>
          <w:color w:val="auto"/>
        </w:rPr>
      </w:pPr>
    </w:p>
    <w:p>
      <w:pPr>
        <w:jc w:val="center"/>
        <w:ind w:right="-159"/>
        <w:spacing w:after="0"/>
        <w:rPr>
          <w:sz w:val="20"/>
          <w:szCs w:val="20"/>
          <w:color w:val="auto"/>
        </w:rPr>
      </w:pPr>
      <w:r>
        <w:rPr>
          <w:rFonts w:ascii="Times New Roman" w:cs="Times New Roman" w:eastAsia="Times New Roman" w:hAnsi="Times New Roman"/>
          <w:sz w:val="28"/>
          <w:szCs w:val="28"/>
          <w:color w:val="auto"/>
        </w:rPr>
        <w:t>ЗАДАЧИ ДЛЯ САМОСТОЯТЕЛЬНОГО РЕШЕНИЯ</w:t>
      </w:r>
    </w:p>
    <w:p>
      <w:pPr>
        <w:spacing w:after="0" w:line="322" w:lineRule="exact"/>
        <w:rPr>
          <w:sz w:val="20"/>
          <w:szCs w:val="20"/>
          <w:color w:val="auto"/>
        </w:rPr>
      </w:pPr>
    </w:p>
    <w:p>
      <w:pPr>
        <w:jc w:val="both"/>
        <w:ind w:left="260" w:right="100" w:firstLine="711"/>
        <w:spacing w:after="0" w:line="255" w:lineRule="auto"/>
        <w:tabs>
          <w:tab w:leader="none" w:pos="1254" w:val="left"/>
        </w:tabs>
        <w:numPr>
          <w:ilvl w:val="0"/>
          <w:numId w:val="6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бизнес-плане предприятия, осваивающего новый продукт, который уже был размещен раннее на рынке, предусматривается, что через год баланс предприятия будет выглядеть следующим образом.</w:t>
      </w:r>
    </w:p>
    <w:p>
      <w:pPr>
        <w:spacing w:after="0" w:line="261" w:lineRule="exact"/>
        <w:rPr>
          <w:sz w:val="20"/>
          <w:szCs w:val="20"/>
          <w:color w:val="auto"/>
        </w:rPr>
      </w:pPr>
    </w:p>
    <w:p>
      <w:pPr>
        <w:jc w:val="center"/>
        <w:ind w:right="-159"/>
        <w:spacing w:after="0"/>
        <w:rPr>
          <w:sz w:val="20"/>
          <w:szCs w:val="20"/>
          <w:color w:val="auto"/>
        </w:rPr>
      </w:pPr>
      <w:r>
        <w:rPr>
          <w:rFonts w:ascii="Times New Roman" w:cs="Times New Roman" w:eastAsia="Times New Roman" w:hAnsi="Times New Roman"/>
          <w:sz w:val="28"/>
          <w:szCs w:val="28"/>
          <w:color w:val="auto"/>
        </w:rPr>
        <w:t>Прогнозный баланс предприятия, руб.</w:t>
      </w:r>
    </w:p>
    <w:tbl>
      <w:tblPr>
        <w:tblLayout w:type="fixed"/>
        <w:tblInd w:w="150" w:type="dxa"/>
        <w:tblCellMar>
          <w:top w:w="0" w:type="dxa"/>
          <w:left w:w="0" w:type="dxa"/>
          <w:bottom w:w="0" w:type="dxa"/>
          <w:right w:w="0" w:type="dxa"/>
        </w:tblCellMar>
      </w:tblPr>
      <w:tr>
        <w:trPr>
          <w:trHeight w:val="334"/>
        </w:trPr>
        <w:tc>
          <w:tcPr>
            <w:tcW w:w="2960" w:type="dxa"/>
            <w:vAlign w:val="bottom"/>
            <w:tcBorders>
              <w:top w:val="single" w:sz="8" w:color="auto"/>
              <w:left w:val="single" w:sz="8" w:color="auto"/>
              <w:bottom w:val="single" w:sz="8" w:color="auto"/>
            </w:tcBorders>
          </w:tcPr>
          <w:p>
            <w:pPr>
              <w:ind w:left="1940"/>
              <w:spacing w:after="0"/>
              <w:rPr>
                <w:sz w:val="20"/>
                <w:szCs w:val="20"/>
                <w:color w:val="auto"/>
              </w:rPr>
            </w:pPr>
            <w:r>
              <w:rPr>
                <w:rFonts w:ascii="Times New Roman" w:cs="Times New Roman" w:eastAsia="Times New Roman" w:hAnsi="Times New Roman"/>
                <w:sz w:val="28"/>
                <w:szCs w:val="28"/>
                <w:color w:val="auto"/>
              </w:rPr>
              <w:t>Активы</w:t>
            </w:r>
          </w:p>
        </w:tc>
        <w:tc>
          <w:tcPr>
            <w:tcW w:w="340" w:type="dxa"/>
            <w:vAlign w:val="bottom"/>
            <w:tcBorders>
              <w:top w:val="single" w:sz="8" w:color="auto"/>
              <w:bottom w:val="single" w:sz="8" w:color="auto"/>
            </w:tcBorders>
          </w:tcPr>
          <w:p>
            <w:pPr>
              <w:spacing w:after="0"/>
              <w:rPr>
                <w:sz w:val="24"/>
                <w:szCs w:val="24"/>
                <w:color w:val="auto"/>
              </w:rPr>
            </w:pPr>
          </w:p>
        </w:tc>
        <w:tc>
          <w:tcPr>
            <w:tcW w:w="1520" w:type="dxa"/>
            <w:vAlign w:val="bottom"/>
            <w:tcBorders>
              <w:top w:val="single" w:sz="8" w:color="auto"/>
              <w:bottom w:val="single" w:sz="8" w:color="auto"/>
              <w:right w:val="single" w:sz="8" w:color="auto"/>
            </w:tcBorders>
          </w:tcPr>
          <w:p>
            <w:pPr>
              <w:spacing w:after="0"/>
              <w:rPr>
                <w:sz w:val="24"/>
                <w:szCs w:val="24"/>
                <w:color w:val="auto"/>
              </w:rPr>
            </w:pPr>
          </w:p>
        </w:tc>
        <w:tc>
          <w:tcPr>
            <w:tcW w:w="3200" w:type="dxa"/>
            <w:vAlign w:val="bottom"/>
            <w:tcBorders>
              <w:top w:val="single" w:sz="8" w:color="auto"/>
              <w:bottom w:val="single" w:sz="8" w:color="auto"/>
            </w:tcBorders>
          </w:tcPr>
          <w:p>
            <w:pPr>
              <w:ind w:left="1860"/>
              <w:spacing w:after="0"/>
              <w:rPr>
                <w:sz w:val="20"/>
                <w:szCs w:val="20"/>
                <w:color w:val="auto"/>
              </w:rPr>
            </w:pPr>
            <w:r>
              <w:rPr>
                <w:rFonts w:ascii="Times New Roman" w:cs="Times New Roman" w:eastAsia="Times New Roman" w:hAnsi="Times New Roman"/>
                <w:sz w:val="28"/>
                <w:szCs w:val="28"/>
                <w:color w:val="auto"/>
              </w:rPr>
              <w:t>Пассивы</w:t>
            </w:r>
          </w:p>
        </w:tc>
        <w:tc>
          <w:tcPr>
            <w:tcW w:w="1580" w:type="dxa"/>
            <w:vAlign w:val="bottom"/>
            <w:tcBorders>
              <w:top w:val="single" w:sz="8" w:color="auto"/>
              <w:bottom w:val="single" w:sz="8" w:color="auto"/>
              <w:right w:val="single" w:sz="8" w:color="auto"/>
            </w:tcBorders>
          </w:tcPr>
          <w:p>
            <w:pPr>
              <w:spacing w:after="0"/>
              <w:rPr>
                <w:sz w:val="24"/>
                <w:szCs w:val="24"/>
                <w:color w:val="auto"/>
              </w:rPr>
            </w:pPr>
          </w:p>
        </w:tc>
      </w:tr>
      <w:tr>
        <w:trPr>
          <w:trHeight w:val="312"/>
        </w:trPr>
        <w:tc>
          <w:tcPr>
            <w:tcW w:w="2960" w:type="dxa"/>
            <w:vAlign w:val="bottom"/>
            <w:tcBorders>
              <w:left w:val="single" w:sz="8" w:color="auto"/>
              <w:bottom w:val="single" w:sz="8" w:color="auto"/>
            </w:tcBorders>
          </w:tcPr>
          <w:p>
            <w:pPr>
              <w:ind w:left="120"/>
              <w:spacing w:after="0" w:line="312" w:lineRule="exact"/>
              <w:rPr>
                <w:sz w:val="20"/>
                <w:szCs w:val="20"/>
                <w:color w:val="auto"/>
              </w:rPr>
            </w:pPr>
            <w:r>
              <w:rPr>
                <w:rFonts w:ascii="Times New Roman" w:cs="Times New Roman" w:eastAsia="Times New Roman" w:hAnsi="Times New Roman"/>
                <w:sz w:val="28"/>
                <w:szCs w:val="28"/>
                <w:color w:val="auto"/>
              </w:rPr>
              <w:t>Текущие активы</w:t>
            </w:r>
          </w:p>
        </w:tc>
        <w:tc>
          <w:tcPr>
            <w:tcW w:w="340" w:type="dxa"/>
            <w:vAlign w:val="bottom"/>
            <w:tcBorders>
              <w:bottom w:val="single" w:sz="8" w:color="auto"/>
              <w:right w:val="single" w:sz="8" w:color="auto"/>
            </w:tcBorders>
          </w:tcPr>
          <w:p>
            <w:pPr>
              <w:spacing w:after="0"/>
              <w:rPr>
                <w:sz w:val="24"/>
                <w:szCs w:val="24"/>
                <w:color w:val="auto"/>
              </w:rPr>
            </w:pPr>
          </w:p>
        </w:tc>
        <w:tc>
          <w:tcPr>
            <w:tcW w:w="1520" w:type="dxa"/>
            <w:vAlign w:val="bottom"/>
            <w:tcBorders>
              <w:bottom w:val="single" w:sz="8" w:color="auto"/>
              <w:right w:val="single" w:sz="8" w:color="auto"/>
            </w:tcBorders>
          </w:tcPr>
          <w:p>
            <w:pPr>
              <w:ind w:left="100"/>
              <w:spacing w:after="0" w:line="312" w:lineRule="exact"/>
              <w:rPr>
                <w:sz w:val="20"/>
                <w:szCs w:val="20"/>
                <w:color w:val="auto"/>
              </w:rPr>
            </w:pPr>
            <w:r>
              <w:rPr>
                <w:rFonts w:ascii="Times New Roman" w:cs="Times New Roman" w:eastAsia="Times New Roman" w:hAnsi="Times New Roman"/>
                <w:sz w:val="28"/>
                <w:szCs w:val="28"/>
                <w:color w:val="auto"/>
              </w:rPr>
              <w:t>2 000 000</w:t>
            </w:r>
          </w:p>
        </w:tc>
        <w:tc>
          <w:tcPr>
            <w:tcW w:w="3200" w:type="dxa"/>
            <w:vAlign w:val="bottom"/>
            <w:tcBorders>
              <w:bottom w:val="single" w:sz="8" w:color="auto"/>
              <w:right w:val="single" w:sz="8" w:color="auto"/>
            </w:tcBorders>
          </w:tcPr>
          <w:p>
            <w:pPr>
              <w:ind w:left="100"/>
              <w:spacing w:after="0" w:line="312" w:lineRule="exact"/>
              <w:rPr>
                <w:sz w:val="20"/>
                <w:szCs w:val="20"/>
                <w:color w:val="auto"/>
              </w:rPr>
            </w:pPr>
            <w:r>
              <w:rPr>
                <w:rFonts w:ascii="Times New Roman" w:cs="Times New Roman" w:eastAsia="Times New Roman" w:hAnsi="Times New Roman"/>
                <w:sz w:val="28"/>
                <w:szCs w:val="28"/>
                <w:color w:val="auto"/>
              </w:rPr>
              <w:t>Обязательства</w:t>
            </w:r>
          </w:p>
        </w:tc>
        <w:tc>
          <w:tcPr>
            <w:tcW w:w="1580" w:type="dxa"/>
            <w:vAlign w:val="bottom"/>
            <w:tcBorders>
              <w:bottom w:val="single" w:sz="8" w:color="auto"/>
              <w:right w:val="single" w:sz="8" w:color="auto"/>
            </w:tcBorders>
          </w:tcPr>
          <w:p>
            <w:pPr>
              <w:ind w:left="100"/>
              <w:spacing w:after="0" w:line="312" w:lineRule="exact"/>
              <w:rPr>
                <w:sz w:val="20"/>
                <w:szCs w:val="20"/>
                <w:color w:val="auto"/>
              </w:rPr>
            </w:pPr>
            <w:r>
              <w:rPr>
                <w:rFonts w:ascii="Times New Roman" w:cs="Times New Roman" w:eastAsia="Times New Roman" w:hAnsi="Times New Roman"/>
                <w:sz w:val="28"/>
                <w:szCs w:val="28"/>
                <w:color w:val="auto"/>
              </w:rPr>
              <w:t>6 000 000</w:t>
            </w:r>
          </w:p>
        </w:tc>
      </w:tr>
      <w:tr>
        <w:trPr>
          <w:trHeight w:val="311"/>
        </w:trPr>
        <w:tc>
          <w:tcPr>
            <w:tcW w:w="2960" w:type="dxa"/>
            <w:vAlign w:val="bottom"/>
            <w:tcBorders>
              <w:left w:val="single" w:sz="8" w:color="auto"/>
              <w:bottom w:val="single" w:sz="8" w:color="auto"/>
            </w:tcBorders>
          </w:tcPr>
          <w:p>
            <w:pPr>
              <w:ind w:left="120"/>
              <w:spacing w:after="0" w:line="310" w:lineRule="exact"/>
              <w:rPr>
                <w:sz w:val="20"/>
                <w:szCs w:val="20"/>
                <w:color w:val="auto"/>
              </w:rPr>
            </w:pPr>
            <w:r>
              <w:rPr>
                <w:rFonts w:ascii="Times New Roman" w:cs="Times New Roman" w:eastAsia="Times New Roman" w:hAnsi="Times New Roman"/>
                <w:sz w:val="28"/>
                <w:szCs w:val="28"/>
                <w:color w:val="auto"/>
              </w:rPr>
              <w:t>Недвижимость</w:t>
            </w:r>
          </w:p>
        </w:tc>
        <w:tc>
          <w:tcPr>
            <w:tcW w:w="340" w:type="dxa"/>
            <w:vAlign w:val="bottom"/>
            <w:tcBorders>
              <w:bottom w:val="single" w:sz="8" w:color="auto"/>
              <w:right w:val="single" w:sz="8" w:color="auto"/>
            </w:tcBorders>
          </w:tcPr>
          <w:p>
            <w:pPr>
              <w:spacing w:after="0"/>
              <w:rPr>
                <w:sz w:val="24"/>
                <w:szCs w:val="24"/>
                <w:color w:val="auto"/>
              </w:rPr>
            </w:pPr>
          </w:p>
        </w:tc>
        <w:tc>
          <w:tcPr>
            <w:tcW w:w="1520" w:type="dxa"/>
            <w:vAlign w:val="bottom"/>
            <w:tcBorders>
              <w:bottom w:val="single" w:sz="8" w:color="auto"/>
              <w:right w:val="single" w:sz="8" w:color="auto"/>
            </w:tcBorders>
          </w:tcPr>
          <w:p>
            <w:pPr>
              <w:ind w:left="100"/>
              <w:spacing w:after="0" w:line="310" w:lineRule="exact"/>
              <w:rPr>
                <w:sz w:val="20"/>
                <w:szCs w:val="20"/>
                <w:color w:val="auto"/>
              </w:rPr>
            </w:pPr>
            <w:r>
              <w:rPr>
                <w:rFonts w:ascii="Times New Roman" w:cs="Times New Roman" w:eastAsia="Times New Roman" w:hAnsi="Times New Roman"/>
                <w:sz w:val="28"/>
                <w:szCs w:val="28"/>
                <w:color w:val="auto"/>
              </w:rPr>
              <w:t>3 500 000</w:t>
            </w:r>
          </w:p>
        </w:tc>
        <w:tc>
          <w:tcPr>
            <w:tcW w:w="3200" w:type="dxa"/>
            <w:vAlign w:val="bottom"/>
            <w:tcBorders>
              <w:bottom w:val="single" w:sz="8" w:color="auto"/>
              <w:right w:val="single" w:sz="8" w:color="auto"/>
            </w:tcBorders>
          </w:tcPr>
          <w:p>
            <w:pPr>
              <w:ind w:left="100"/>
              <w:spacing w:after="0" w:line="310" w:lineRule="exact"/>
              <w:rPr>
                <w:sz w:val="20"/>
                <w:szCs w:val="20"/>
                <w:color w:val="auto"/>
              </w:rPr>
            </w:pPr>
            <w:r>
              <w:rPr>
                <w:rFonts w:ascii="Times New Roman" w:cs="Times New Roman" w:eastAsia="Times New Roman" w:hAnsi="Times New Roman"/>
                <w:sz w:val="28"/>
                <w:szCs w:val="28"/>
                <w:color w:val="auto"/>
              </w:rPr>
              <w:t>Собственный капитал</w:t>
            </w:r>
          </w:p>
        </w:tc>
        <w:tc>
          <w:tcPr>
            <w:tcW w:w="1580" w:type="dxa"/>
            <w:vAlign w:val="bottom"/>
            <w:tcBorders>
              <w:bottom w:val="single" w:sz="8" w:color="auto"/>
              <w:right w:val="single" w:sz="8" w:color="auto"/>
            </w:tcBorders>
          </w:tcPr>
          <w:p>
            <w:pPr>
              <w:ind w:left="100"/>
              <w:spacing w:after="0" w:line="310" w:lineRule="exact"/>
              <w:rPr>
                <w:sz w:val="20"/>
                <w:szCs w:val="20"/>
                <w:color w:val="auto"/>
              </w:rPr>
            </w:pPr>
            <w:r>
              <w:rPr>
                <w:rFonts w:ascii="Times New Roman" w:cs="Times New Roman" w:eastAsia="Times New Roman" w:hAnsi="Times New Roman"/>
                <w:sz w:val="28"/>
                <w:szCs w:val="28"/>
                <w:color w:val="auto"/>
              </w:rPr>
              <w:t>6 500 000</w:t>
            </w:r>
          </w:p>
        </w:tc>
      </w:tr>
      <w:tr>
        <w:trPr>
          <w:trHeight w:val="291"/>
        </w:trPr>
        <w:tc>
          <w:tcPr>
            <w:tcW w:w="2960" w:type="dxa"/>
            <w:vAlign w:val="bottom"/>
            <w:tcBorders>
              <w:left w:val="single" w:sz="8" w:color="auto"/>
            </w:tcBorders>
          </w:tcPr>
          <w:p>
            <w:pPr>
              <w:ind w:left="120"/>
              <w:spacing w:after="0" w:line="290" w:lineRule="exact"/>
              <w:rPr>
                <w:sz w:val="20"/>
                <w:szCs w:val="20"/>
                <w:color w:val="auto"/>
              </w:rPr>
            </w:pPr>
            <w:r>
              <w:rPr>
                <w:rFonts w:ascii="Times New Roman" w:cs="Times New Roman" w:eastAsia="Times New Roman" w:hAnsi="Times New Roman"/>
                <w:sz w:val="28"/>
                <w:szCs w:val="28"/>
                <w:color w:val="auto"/>
              </w:rPr>
              <w:t>Оборудование</w:t>
            </w:r>
          </w:p>
        </w:tc>
        <w:tc>
          <w:tcPr>
            <w:tcW w:w="340" w:type="dxa"/>
            <w:vAlign w:val="bottom"/>
            <w:tcBorders>
              <w:right w:val="single" w:sz="8" w:color="auto"/>
            </w:tcBorders>
          </w:tcPr>
          <w:p>
            <w:pPr>
              <w:ind w:left="80"/>
              <w:spacing w:after="0" w:line="290" w:lineRule="exact"/>
              <w:rPr>
                <w:sz w:val="20"/>
                <w:szCs w:val="20"/>
                <w:color w:val="auto"/>
              </w:rPr>
            </w:pPr>
            <w:r>
              <w:rPr>
                <w:rFonts w:ascii="Times New Roman" w:cs="Times New Roman" w:eastAsia="Times New Roman" w:hAnsi="Times New Roman"/>
                <w:sz w:val="28"/>
                <w:szCs w:val="28"/>
                <w:color w:val="auto"/>
              </w:rPr>
              <w:t>и</w:t>
            </w:r>
          </w:p>
        </w:tc>
        <w:tc>
          <w:tcPr>
            <w:tcW w:w="1520" w:type="dxa"/>
            <w:vAlign w:val="bottom"/>
            <w:tcBorders>
              <w:right w:val="single" w:sz="8" w:color="auto"/>
            </w:tcBorders>
          </w:tcPr>
          <w:p>
            <w:pPr>
              <w:ind w:left="100"/>
              <w:spacing w:after="0" w:line="290" w:lineRule="exact"/>
              <w:rPr>
                <w:sz w:val="20"/>
                <w:szCs w:val="20"/>
                <w:color w:val="auto"/>
              </w:rPr>
            </w:pPr>
            <w:r>
              <w:rPr>
                <w:rFonts w:ascii="Times New Roman" w:cs="Times New Roman" w:eastAsia="Times New Roman" w:hAnsi="Times New Roman"/>
                <w:sz w:val="28"/>
                <w:szCs w:val="28"/>
                <w:color w:val="auto"/>
              </w:rPr>
              <w:t>4 000 000</w:t>
            </w:r>
          </w:p>
        </w:tc>
        <w:tc>
          <w:tcPr>
            <w:tcW w:w="3200" w:type="dxa"/>
            <w:vAlign w:val="bottom"/>
            <w:tcBorders>
              <w:right w:val="single" w:sz="8" w:color="auto"/>
            </w:tcBorders>
          </w:tcPr>
          <w:p>
            <w:pPr>
              <w:spacing w:after="0"/>
              <w:rPr>
                <w:sz w:val="24"/>
                <w:szCs w:val="24"/>
                <w:color w:val="auto"/>
              </w:rPr>
            </w:pPr>
          </w:p>
        </w:tc>
        <w:tc>
          <w:tcPr>
            <w:tcW w:w="1580" w:type="dxa"/>
            <w:vAlign w:val="bottom"/>
            <w:tcBorders>
              <w:right w:val="single" w:sz="8" w:color="auto"/>
            </w:tcBorders>
          </w:tcPr>
          <w:p>
            <w:pPr>
              <w:spacing w:after="0"/>
              <w:rPr>
                <w:sz w:val="24"/>
                <w:szCs w:val="24"/>
                <w:color w:val="auto"/>
              </w:rPr>
            </w:pPr>
          </w:p>
        </w:tc>
      </w:tr>
      <w:tr>
        <w:trPr>
          <w:trHeight w:val="343"/>
        </w:trPr>
        <w:tc>
          <w:tcPr>
            <w:tcW w:w="2960" w:type="dxa"/>
            <w:vAlign w:val="bottom"/>
            <w:tcBorders>
              <w:left w:val="single" w:sz="8" w:color="auto"/>
              <w:bottom w:val="single" w:sz="8" w:color="auto"/>
            </w:tcBorders>
          </w:tcPr>
          <w:p>
            <w:pPr>
              <w:ind w:left="120"/>
              <w:spacing w:after="0"/>
              <w:rPr>
                <w:sz w:val="20"/>
                <w:szCs w:val="20"/>
                <w:color w:val="auto"/>
              </w:rPr>
            </w:pPr>
            <w:r>
              <w:rPr>
                <w:rFonts w:ascii="Times New Roman" w:cs="Times New Roman" w:eastAsia="Times New Roman" w:hAnsi="Times New Roman"/>
                <w:sz w:val="28"/>
                <w:szCs w:val="28"/>
                <w:color w:val="auto"/>
              </w:rPr>
              <w:t>оснастка</w:t>
            </w:r>
          </w:p>
        </w:tc>
        <w:tc>
          <w:tcPr>
            <w:tcW w:w="340" w:type="dxa"/>
            <w:vAlign w:val="bottom"/>
            <w:tcBorders>
              <w:bottom w:val="single" w:sz="8" w:color="auto"/>
              <w:right w:val="single" w:sz="8" w:color="auto"/>
            </w:tcBorders>
          </w:tcPr>
          <w:p>
            <w:pPr>
              <w:spacing w:after="0"/>
              <w:rPr>
                <w:sz w:val="24"/>
                <w:szCs w:val="24"/>
                <w:color w:val="auto"/>
              </w:rPr>
            </w:pPr>
          </w:p>
        </w:tc>
        <w:tc>
          <w:tcPr>
            <w:tcW w:w="1520" w:type="dxa"/>
            <w:vAlign w:val="bottom"/>
            <w:tcBorders>
              <w:bottom w:val="single" w:sz="8" w:color="auto"/>
              <w:right w:val="single" w:sz="8" w:color="auto"/>
            </w:tcBorders>
          </w:tcPr>
          <w:p>
            <w:pPr>
              <w:spacing w:after="0"/>
              <w:rPr>
                <w:sz w:val="24"/>
                <w:szCs w:val="24"/>
                <w:color w:val="auto"/>
              </w:rPr>
            </w:pPr>
          </w:p>
        </w:tc>
        <w:tc>
          <w:tcPr>
            <w:tcW w:w="3200" w:type="dxa"/>
            <w:vAlign w:val="bottom"/>
            <w:tcBorders>
              <w:bottom w:val="single" w:sz="8" w:color="auto"/>
              <w:right w:val="single" w:sz="8" w:color="auto"/>
            </w:tcBorders>
          </w:tcPr>
          <w:p>
            <w:pPr>
              <w:spacing w:after="0"/>
              <w:rPr>
                <w:sz w:val="24"/>
                <w:szCs w:val="24"/>
                <w:color w:val="auto"/>
              </w:rPr>
            </w:pPr>
          </w:p>
        </w:tc>
        <w:tc>
          <w:tcPr>
            <w:tcW w:w="1580" w:type="dxa"/>
            <w:vAlign w:val="bottom"/>
            <w:tcBorders>
              <w:bottom w:val="single" w:sz="8" w:color="auto"/>
              <w:right w:val="single" w:sz="8" w:color="auto"/>
            </w:tcBorders>
          </w:tcPr>
          <w:p>
            <w:pPr>
              <w:spacing w:after="0"/>
              <w:rPr>
                <w:sz w:val="24"/>
                <w:szCs w:val="24"/>
                <w:color w:val="auto"/>
              </w:rPr>
            </w:pPr>
          </w:p>
        </w:tc>
      </w:tr>
      <w:tr>
        <w:trPr>
          <w:trHeight w:val="312"/>
        </w:trPr>
        <w:tc>
          <w:tcPr>
            <w:tcW w:w="3300" w:type="dxa"/>
            <w:vAlign w:val="bottom"/>
            <w:tcBorders>
              <w:left w:val="single" w:sz="8" w:color="auto"/>
              <w:bottom w:val="single" w:sz="8" w:color="auto"/>
              <w:right w:val="single" w:sz="8" w:color="auto"/>
            </w:tcBorders>
            <w:gridSpan w:val="2"/>
          </w:tcPr>
          <w:p>
            <w:pPr>
              <w:ind w:left="120"/>
              <w:spacing w:after="0" w:line="312" w:lineRule="exact"/>
              <w:rPr>
                <w:sz w:val="20"/>
                <w:szCs w:val="20"/>
                <w:color w:val="auto"/>
              </w:rPr>
            </w:pPr>
            <w:r>
              <w:rPr>
                <w:rFonts w:ascii="Times New Roman" w:cs="Times New Roman" w:eastAsia="Times New Roman" w:hAnsi="Times New Roman"/>
                <w:sz w:val="28"/>
                <w:szCs w:val="28"/>
                <w:color w:val="auto"/>
              </w:rPr>
              <w:t>Нематериальные активы</w:t>
            </w:r>
          </w:p>
        </w:tc>
        <w:tc>
          <w:tcPr>
            <w:tcW w:w="1520" w:type="dxa"/>
            <w:vAlign w:val="bottom"/>
            <w:tcBorders>
              <w:bottom w:val="single" w:sz="8" w:color="auto"/>
              <w:right w:val="single" w:sz="8" w:color="auto"/>
            </w:tcBorders>
          </w:tcPr>
          <w:p>
            <w:pPr>
              <w:ind w:left="100"/>
              <w:spacing w:after="0" w:line="312" w:lineRule="exact"/>
              <w:rPr>
                <w:sz w:val="20"/>
                <w:szCs w:val="20"/>
                <w:color w:val="auto"/>
              </w:rPr>
            </w:pPr>
            <w:r>
              <w:rPr>
                <w:rFonts w:ascii="Times New Roman" w:cs="Times New Roman" w:eastAsia="Times New Roman" w:hAnsi="Times New Roman"/>
                <w:sz w:val="28"/>
                <w:szCs w:val="28"/>
                <w:color w:val="auto"/>
              </w:rPr>
              <w:t>3 000 000</w:t>
            </w:r>
          </w:p>
        </w:tc>
        <w:tc>
          <w:tcPr>
            <w:tcW w:w="3200" w:type="dxa"/>
            <w:vAlign w:val="bottom"/>
            <w:tcBorders>
              <w:bottom w:val="single" w:sz="8" w:color="auto"/>
              <w:right w:val="single" w:sz="8" w:color="auto"/>
            </w:tcBorders>
          </w:tcPr>
          <w:p>
            <w:pPr>
              <w:spacing w:after="0"/>
              <w:rPr>
                <w:sz w:val="24"/>
                <w:szCs w:val="24"/>
                <w:color w:val="auto"/>
              </w:rPr>
            </w:pPr>
          </w:p>
        </w:tc>
        <w:tc>
          <w:tcPr>
            <w:tcW w:w="1580" w:type="dxa"/>
            <w:vAlign w:val="bottom"/>
            <w:tcBorders>
              <w:bottom w:val="single" w:sz="8" w:color="auto"/>
              <w:right w:val="single" w:sz="8" w:color="auto"/>
            </w:tcBorders>
          </w:tcPr>
          <w:p>
            <w:pPr>
              <w:spacing w:after="0"/>
              <w:rPr>
                <w:sz w:val="24"/>
                <w:szCs w:val="24"/>
                <w:color w:val="auto"/>
              </w:rPr>
            </w:pPr>
          </w:p>
        </w:tc>
      </w:tr>
      <w:tr>
        <w:trPr>
          <w:trHeight w:val="312"/>
        </w:trPr>
        <w:tc>
          <w:tcPr>
            <w:tcW w:w="2960" w:type="dxa"/>
            <w:vAlign w:val="bottom"/>
            <w:tcBorders>
              <w:left w:val="single" w:sz="8" w:color="auto"/>
              <w:bottom w:val="single" w:sz="8" w:color="auto"/>
            </w:tcBorders>
          </w:tcPr>
          <w:p>
            <w:pPr>
              <w:ind w:left="120"/>
              <w:spacing w:after="0" w:line="312" w:lineRule="exact"/>
              <w:rPr>
                <w:sz w:val="20"/>
                <w:szCs w:val="20"/>
                <w:color w:val="auto"/>
              </w:rPr>
            </w:pPr>
            <w:r>
              <w:rPr>
                <w:rFonts w:ascii="Times New Roman" w:cs="Times New Roman" w:eastAsia="Times New Roman" w:hAnsi="Times New Roman"/>
                <w:sz w:val="28"/>
                <w:szCs w:val="28"/>
                <w:color w:val="auto"/>
              </w:rPr>
              <w:t>Итого</w:t>
            </w:r>
          </w:p>
        </w:tc>
        <w:tc>
          <w:tcPr>
            <w:tcW w:w="340" w:type="dxa"/>
            <w:vAlign w:val="bottom"/>
            <w:tcBorders>
              <w:bottom w:val="single" w:sz="8" w:color="auto"/>
              <w:right w:val="single" w:sz="8" w:color="auto"/>
            </w:tcBorders>
          </w:tcPr>
          <w:p>
            <w:pPr>
              <w:spacing w:after="0"/>
              <w:rPr>
                <w:sz w:val="24"/>
                <w:szCs w:val="24"/>
                <w:color w:val="auto"/>
              </w:rPr>
            </w:pPr>
          </w:p>
        </w:tc>
        <w:tc>
          <w:tcPr>
            <w:tcW w:w="1520" w:type="dxa"/>
            <w:vAlign w:val="bottom"/>
            <w:tcBorders>
              <w:bottom w:val="single" w:sz="8" w:color="auto"/>
              <w:right w:val="single" w:sz="8" w:color="auto"/>
            </w:tcBorders>
          </w:tcPr>
          <w:p>
            <w:pPr>
              <w:ind w:left="100"/>
              <w:spacing w:after="0" w:line="312" w:lineRule="exact"/>
              <w:rPr>
                <w:sz w:val="20"/>
                <w:szCs w:val="20"/>
                <w:color w:val="auto"/>
              </w:rPr>
            </w:pPr>
            <w:r>
              <w:rPr>
                <w:rFonts w:ascii="Times New Roman" w:cs="Times New Roman" w:eastAsia="Times New Roman" w:hAnsi="Times New Roman"/>
                <w:sz w:val="28"/>
                <w:szCs w:val="28"/>
                <w:color w:val="auto"/>
              </w:rPr>
              <w:t>12 500 000</w:t>
            </w:r>
          </w:p>
        </w:tc>
        <w:tc>
          <w:tcPr>
            <w:tcW w:w="3200" w:type="dxa"/>
            <w:vAlign w:val="bottom"/>
            <w:tcBorders>
              <w:bottom w:val="single" w:sz="8" w:color="auto"/>
              <w:right w:val="single" w:sz="8" w:color="auto"/>
            </w:tcBorders>
          </w:tcPr>
          <w:p>
            <w:pPr>
              <w:ind w:left="100"/>
              <w:spacing w:after="0" w:line="312" w:lineRule="exact"/>
              <w:rPr>
                <w:sz w:val="20"/>
                <w:szCs w:val="20"/>
                <w:color w:val="auto"/>
              </w:rPr>
            </w:pPr>
            <w:r>
              <w:rPr>
                <w:rFonts w:ascii="Times New Roman" w:cs="Times New Roman" w:eastAsia="Times New Roman" w:hAnsi="Times New Roman"/>
                <w:sz w:val="28"/>
                <w:szCs w:val="28"/>
                <w:color w:val="auto"/>
              </w:rPr>
              <w:t>Итого</w:t>
            </w:r>
          </w:p>
        </w:tc>
        <w:tc>
          <w:tcPr>
            <w:tcW w:w="1580" w:type="dxa"/>
            <w:vAlign w:val="bottom"/>
            <w:tcBorders>
              <w:bottom w:val="single" w:sz="8" w:color="auto"/>
              <w:right w:val="single" w:sz="8" w:color="auto"/>
            </w:tcBorders>
          </w:tcPr>
          <w:p>
            <w:pPr>
              <w:ind w:left="100"/>
              <w:spacing w:after="0" w:line="312" w:lineRule="exact"/>
              <w:rPr>
                <w:sz w:val="20"/>
                <w:szCs w:val="20"/>
                <w:color w:val="auto"/>
              </w:rPr>
            </w:pPr>
            <w:r>
              <w:rPr>
                <w:rFonts w:ascii="Times New Roman" w:cs="Times New Roman" w:eastAsia="Times New Roman" w:hAnsi="Times New Roman"/>
                <w:sz w:val="28"/>
                <w:szCs w:val="28"/>
                <w:color w:val="auto"/>
              </w:rPr>
              <w:t>12 500 000</w:t>
            </w:r>
          </w:p>
        </w:tc>
      </w:tr>
    </w:tbl>
    <w:p>
      <w:pPr>
        <w:spacing w:after="0" w:line="300" w:lineRule="exact"/>
        <w:rPr>
          <w:sz w:val="20"/>
          <w:szCs w:val="20"/>
          <w:color w:val="auto"/>
        </w:rPr>
      </w:pPr>
    </w:p>
    <w:p>
      <w:pPr>
        <w:jc w:val="both"/>
        <w:ind w:left="260" w:right="100" w:firstLine="711"/>
        <w:spacing w:after="0"/>
        <w:tabs>
          <w:tab w:leader="none" w:pos="1592" w:val="left"/>
        </w:tabs>
        <w:numPr>
          <w:ilvl w:val="0"/>
          <w:numId w:val="6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плановой инвентаризационной ведомости недвижимости, оборудования и оснастки предприятия на рассматриваемый момент значится следующее имущество.</w:t>
      </w:r>
    </w:p>
    <w:p>
      <w:pPr>
        <w:ind w:left="98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Недвижимость:</w:t>
      </w:r>
    </w:p>
    <w:p>
      <w:pPr>
        <w:spacing w:after="0" w:line="21" w:lineRule="exact"/>
        <w:rPr>
          <w:rFonts w:ascii="Times New Roman" w:cs="Times New Roman" w:eastAsia="Times New Roman" w:hAnsi="Times New Roman"/>
          <w:sz w:val="28"/>
          <w:szCs w:val="28"/>
          <w:color w:val="auto"/>
        </w:rPr>
      </w:pPr>
    </w:p>
    <w:p>
      <w:pPr>
        <w:ind w:left="980" w:right="1200"/>
        <w:spacing w:after="0" w:line="210" w:lineRule="auto"/>
        <w:rPr>
          <w:rFonts w:ascii="Times New Roman" w:cs="Times New Roman" w:eastAsia="Times New Roman" w:hAnsi="Times New Roman"/>
          <w:sz w:val="28"/>
          <w:szCs w:val="28"/>
          <w:color w:val="auto"/>
        </w:rPr>
      </w:pPr>
      <w:r>
        <w:rPr>
          <w:rFonts w:ascii="Symbol" w:cs="Symbol" w:eastAsia="Symbol" w:hAnsi="Symbol"/>
          <w:sz w:val="28"/>
          <w:szCs w:val="28"/>
          <w:color w:val="auto"/>
        </w:rPr>
        <w:t></w:t>
      </w:r>
      <w:r>
        <w:rPr>
          <w:rFonts w:ascii="Times New Roman" w:cs="Times New Roman" w:eastAsia="Times New Roman" w:hAnsi="Times New Roman"/>
          <w:sz w:val="28"/>
          <w:szCs w:val="28"/>
          <w:color w:val="auto"/>
        </w:rPr>
        <w:t xml:space="preserve"> кирпичное здание общей площадью 4000 м</w:t>
      </w:r>
      <w:r>
        <w:rPr>
          <w:rFonts w:ascii="Times New Roman" w:cs="Times New Roman" w:eastAsia="Times New Roman" w:hAnsi="Times New Roman"/>
          <w:sz w:val="36"/>
          <w:szCs w:val="36"/>
          <w:color w:val="auto"/>
          <w:vertAlign w:val="superscript"/>
        </w:rPr>
        <w:t>2</w:t>
      </w:r>
      <w:r>
        <w:rPr>
          <w:rFonts w:ascii="Times New Roman" w:cs="Times New Roman" w:eastAsia="Times New Roman" w:hAnsi="Times New Roman"/>
          <w:sz w:val="28"/>
          <w:szCs w:val="28"/>
          <w:color w:val="auto"/>
        </w:rPr>
        <w:t xml:space="preserve"> с износом 60%; </w:t>
      </w:r>
      <w:r>
        <w:rPr>
          <w:rFonts w:ascii="Symbol" w:cs="Symbol" w:eastAsia="Symbol" w:hAnsi="Symbol"/>
          <w:sz w:val="28"/>
          <w:szCs w:val="28"/>
          <w:color w:val="auto"/>
        </w:rPr>
        <w:t></w:t>
      </w:r>
      <w:r>
        <w:rPr>
          <w:rFonts w:ascii="Times New Roman" w:cs="Times New Roman" w:eastAsia="Times New Roman" w:hAnsi="Times New Roman"/>
          <w:sz w:val="28"/>
          <w:szCs w:val="28"/>
          <w:color w:val="auto"/>
        </w:rPr>
        <w:t xml:space="preserve"> земельный участок 0,3 гектара.</w:t>
      </w:r>
    </w:p>
    <w:p>
      <w:pPr>
        <w:spacing w:after="0" w:line="1" w:lineRule="exact"/>
        <w:rPr>
          <w:rFonts w:ascii="Times New Roman" w:cs="Times New Roman" w:eastAsia="Times New Roman" w:hAnsi="Times New Roman"/>
          <w:sz w:val="28"/>
          <w:szCs w:val="28"/>
          <w:color w:val="auto"/>
        </w:rPr>
      </w:pPr>
    </w:p>
    <w:p>
      <w:pPr>
        <w:ind w:left="98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Оборудование и оснастка:</w:t>
      </w:r>
    </w:p>
    <w:p>
      <w:pPr>
        <w:spacing w:after="0" w:line="20" w:lineRule="exact"/>
        <w:rPr>
          <w:rFonts w:ascii="Times New Roman" w:cs="Times New Roman" w:eastAsia="Times New Roman" w:hAnsi="Times New Roman"/>
          <w:sz w:val="28"/>
          <w:szCs w:val="28"/>
          <w:color w:val="auto"/>
        </w:rPr>
      </w:pPr>
    </w:p>
    <w:p>
      <w:pPr>
        <w:ind w:left="980"/>
        <w:spacing w:after="0" w:line="239" w:lineRule="auto"/>
        <w:rPr>
          <w:rFonts w:ascii="Times New Roman" w:cs="Times New Roman" w:eastAsia="Times New Roman" w:hAnsi="Times New Roman"/>
          <w:sz w:val="28"/>
          <w:szCs w:val="28"/>
          <w:color w:val="auto"/>
        </w:rPr>
      </w:pPr>
      <w:r>
        <w:rPr>
          <w:rFonts w:ascii="Symbol" w:cs="Symbol" w:eastAsia="Symbol" w:hAnsi="Symbol"/>
          <w:sz w:val="28"/>
          <w:szCs w:val="28"/>
          <w:color w:val="auto"/>
        </w:rPr>
        <w:t></w:t>
      </w:r>
      <w:r>
        <w:rPr>
          <w:rFonts w:ascii="Times New Roman" w:cs="Times New Roman" w:eastAsia="Times New Roman" w:hAnsi="Times New Roman"/>
          <w:sz w:val="28"/>
          <w:szCs w:val="28"/>
          <w:color w:val="auto"/>
        </w:rPr>
        <w:t xml:space="preserve">  универсальное оборудование и оснастка с износом 40%;</w:t>
      </w:r>
    </w:p>
    <w:p>
      <w:pPr>
        <w:ind w:left="980" w:right="100"/>
        <w:spacing w:after="0" w:line="239" w:lineRule="auto"/>
        <w:rPr>
          <w:rFonts w:ascii="Times New Roman" w:cs="Times New Roman" w:eastAsia="Times New Roman" w:hAnsi="Times New Roman"/>
          <w:sz w:val="28"/>
          <w:szCs w:val="28"/>
          <w:color w:val="auto"/>
        </w:rPr>
      </w:pPr>
      <w:r>
        <w:rPr>
          <w:rFonts w:ascii="Symbol" w:cs="Symbol" w:eastAsia="Symbol" w:hAnsi="Symbol"/>
          <w:sz w:val="28"/>
          <w:szCs w:val="28"/>
          <w:color w:val="auto"/>
        </w:rPr>
        <w:t></w:t>
      </w:r>
      <w:r>
        <w:rPr>
          <w:rFonts w:ascii="Times New Roman" w:cs="Times New Roman" w:eastAsia="Times New Roman" w:hAnsi="Times New Roman"/>
          <w:sz w:val="28"/>
          <w:szCs w:val="28"/>
          <w:color w:val="auto"/>
        </w:rPr>
        <w:t xml:space="preserve"> специальное технологическое оборудование с износом 25%; </w:t>
      </w:r>
      <w:r>
        <w:rPr>
          <w:rFonts w:ascii="Symbol" w:cs="Symbol" w:eastAsia="Symbol" w:hAnsi="Symbol"/>
          <w:sz w:val="28"/>
          <w:szCs w:val="28"/>
          <w:color w:val="auto"/>
        </w:rPr>
        <w:t></w:t>
      </w:r>
      <w:r>
        <w:rPr>
          <w:rFonts w:ascii="Times New Roman" w:cs="Times New Roman" w:eastAsia="Times New Roman" w:hAnsi="Times New Roman"/>
          <w:sz w:val="28"/>
          <w:szCs w:val="28"/>
          <w:color w:val="auto"/>
        </w:rPr>
        <w:t xml:space="preserve"> специальная технологическая оснастка с износом 50%. Нематериальные активы (по фактической стоимости приобретения или</w:t>
      </w:r>
    </w:p>
    <w:p>
      <w:pPr>
        <w:spacing w:after="0" w:line="2" w:lineRule="exact"/>
        <w:rPr>
          <w:rFonts w:ascii="Times New Roman" w:cs="Times New Roman" w:eastAsia="Times New Roman" w:hAnsi="Times New Roman"/>
          <w:sz w:val="28"/>
          <w:szCs w:val="28"/>
          <w:color w:val="auto"/>
        </w:rPr>
      </w:pPr>
    </w:p>
    <w:p>
      <w:pPr>
        <w:ind w:left="980" w:right="5480" w:hanging="709"/>
        <w:spacing w:after="0" w:line="25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7"/>
          <w:szCs w:val="27"/>
          <w:color w:val="auto"/>
        </w:rPr>
        <w:t xml:space="preserve">создания собственными силами): </w:t>
      </w:r>
      <w:r>
        <w:rPr>
          <w:rFonts w:ascii="Symbol" w:cs="Symbol" w:eastAsia="Symbol" w:hAnsi="Symbol"/>
          <w:sz w:val="27"/>
          <w:szCs w:val="27"/>
          <w:color w:val="auto"/>
        </w:rPr>
        <w:t></w:t>
      </w:r>
      <w:r>
        <w:rPr>
          <w:rFonts w:ascii="Times New Roman" w:cs="Times New Roman" w:eastAsia="Times New Roman" w:hAnsi="Times New Roman"/>
          <w:sz w:val="27"/>
          <w:szCs w:val="27"/>
          <w:color w:val="auto"/>
        </w:rPr>
        <w:t xml:space="preserve"> ноу-хау, износ – 20%;</w:t>
      </w:r>
    </w:p>
    <w:p>
      <w:pPr>
        <w:spacing w:after="0" w:line="1" w:lineRule="exact"/>
        <w:rPr>
          <w:rFonts w:ascii="Times New Roman" w:cs="Times New Roman" w:eastAsia="Times New Roman" w:hAnsi="Times New Roman"/>
          <w:sz w:val="28"/>
          <w:szCs w:val="28"/>
          <w:color w:val="auto"/>
        </w:rPr>
      </w:pPr>
    </w:p>
    <w:p>
      <w:pPr>
        <w:ind w:left="260" w:right="100" w:firstLine="709"/>
        <w:spacing w:after="0" w:line="255" w:lineRule="auto"/>
        <w:rPr>
          <w:rFonts w:ascii="Times New Roman" w:cs="Times New Roman" w:eastAsia="Times New Roman" w:hAnsi="Times New Roman"/>
          <w:sz w:val="28"/>
          <w:szCs w:val="28"/>
          <w:color w:val="auto"/>
        </w:rPr>
      </w:pPr>
      <w:r>
        <w:rPr>
          <w:rFonts w:ascii="Symbol" w:cs="Symbol" w:eastAsia="Symbol" w:hAnsi="Symbol"/>
          <w:sz w:val="28"/>
          <w:szCs w:val="28"/>
          <w:color w:val="auto"/>
        </w:rPr>
        <w:t></w:t>
      </w:r>
      <w:r>
        <w:rPr>
          <w:rFonts w:ascii="Times New Roman" w:cs="Times New Roman" w:eastAsia="Times New Roman" w:hAnsi="Times New Roman"/>
          <w:sz w:val="28"/>
          <w:szCs w:val="28"/>
          <w:color w:val="auto"/>
        </w:rPr>
        <w:t xml:space="preserve"> обученный и подобранный (за счет предприятия) персонал, условный износ – 25%.</w:t>
      </w:r>
    </w:p>
    <w:p>
      <w:pPr>
        <w:sectPr>
          <w:pgSz w:w="11900" w:h="16840" w:orient="portrait"/>
          <w:cols w:equalWidth="0" w:num="1">
            <w:col w:w="9720"/>
          </w:cols>
          <w:pgMar w:left="1440" w:top="1112" w:right="744" w:bottom="163" w:gutter="0" w:footer="0" w:header="0"/>
        </w:sectPr>
      </w:pPr>
    </w:p>
    <w:p>
      <w:pPr>
        <w:spacing w:after="0" w:line="283" w:lineRule="exact"/>
        <w:rPr>
          <w:sz w:val="20"/>
          <w:szCs w:val="20"/>
          <w:color w:val="auto"/>
        </w:rPr>
      </w:pPr>
    </w:p>
    <w:p>
      <w:pPr>
        <w:ind w:left="9380"/>
        <w:spacing w:after="0"/>
        <w:rPr>
          <w:sz w:val="20"/>
          <w:szCs w:val="20"/>
          <w:color w:val="auto"/>
        </w:rPr>
      </w:pPr>
      <w:r>
        <w:rPr>
          <w:rFonts w:ascii="Times New Roman" w:cs="Times New Roman" w:eastAsia="Times New Roman" w:hAnsi="Times New Roman"/>
          <w:sz w:val="24"/>
          <w:szCs w:val="24"/>
          <w:color w:val="auto"/>
        </w:rPr>
        <w:t>25</w:t>
      </w:r>
    </w:p>
    <w:p>
      <w:pPr>
        <w:sectPr>
          <w:pgSz w:w="11900" w:h="16840" w:orient="portrait"/>
          <w:cols w:equalWidth="0" w:num="1">
            <w:col w:w="9720"/>
          </w:cols>
          <w:pgMar w:left="1440" w:top="1112" w:right="744" w:bottom="163" w:gutter="0" w:footer="0" w:header="0"/>
          <w:type w:val="continuous"/>
        </w:sectPr>
      </w:pPr>
    </w:p>
    <w:p>
      <w:pPr>
        <w:jc w:val="both"/>
        <w:ind w:left="260" w:firstLine="709"/>
        <w:spacing w:after="0" w:line="244" w:lineRule="auto"/>
        <w:rPr>
          <w:sz w:val="20"/>
          <w:szCs w:val="20"/>
          <w:color w:val="auto"/>
        </w:rPr>
      </w:pPr>
      <w:r>
        <w:rPr>
          <w:rFonts w:ascii="Times New Roman" w:cs="Times New Roman" w:eastAsia="Times New Roman" w:hAnsi="Times New Roman"/>
          <w:sz w:val="28"/>
          <w:szCs w:val="28"/>
          <w:color w:val="auto"/>
        </w:rPr>
        <w:t>Рыночная стоимость отраженных в плановом балансе активов (за исключением текущих активов, но с учетом износа) прогнозируется на уровне, руб.:</w:t>
      </w:r>
    </w:p>
    <w:p>
      <w:pPr>
        <w:spacing w:after="0" w:line="4" w:lineRule="exact"/>
        <w:rPr>
          <w:sz w:val="20"/>
          <w:szCs w:val="20"/>
          <w:color w:val="auto"/>
        </w:rPr>
      </w:pPr>
    </w:p>
    <w:p>
      <w:pPr>
        <w:ind w:left="260" w:firstLine="711"/>
        <w:spacing w:after="0" w:line="239" w:lineRule="auto"/>
        <w:tabs>
          <w:tab w:leader="none" w:pos="1329" w:val="left"/>
        </w:tabs>
        <w:numPr>
          <w:ilvl w:val="1"/>
          <w:numId w:val="69"/>
        </w:numPr>
        <w:rPr>
          <w:rFonts w:ascii="Symbol" w:cs="Symbol" w:eastAsia="Symbol" w:hAnsi="Symbol"/>
          <w:sz w:val="28"/>
          <w:szCs w:val="28"/>
          <w:color w:val="auto"/>
        </w:rPr>
      </w:pPr>
      <w:r>
        <w:rPr>
          <w:rFonts w:ascii="Times New Roman" w:cs="Times New Roman" w:eastAsia="Times New Roman" w:hAnsi="Times New Roman"/>
          <w:sz w:val="28"/>
          <w:szCs w:val="28"/>
          <w:color w:val="auto"/>
        </w:rPr>
        <w:t>недвижимость – 1 600 000 (увеличение в результате общего подорожания недвижимости);</w:t>
      </w:r>
    </w:p>
    <w:p>
      <w:pPr>
        <w:spacing w:after="0" w:line="1" w:lineRule="exact"/>
        <w:rPr>
          <w:rFonts w:ascii="Symbol" w:cs="Symbol" w:eastAsia="Symbol" w:hAnsi="Symbol"/>
          <w:sz w:val="28"/>
          <w:szCs w:val="28"/>
          <w:color w:val="auto"/>
        </w:rPr>
      </w:pPr>
    </w:p>
    <w:p>
      <w:pPr>
        <w:jc w:val="both"/>
        <w:ind w:left="260" w:firstLine="711"/>
        <w:spacing w:after="0" w:line="239" w:lineRule="auto"/>
        <w:tabs>
          <w:tab w:leader="none" w:pos="1329" w:val="left"/>
        </w:tabs>
        <w:numPr>
          <w:ilvl w:val="1"/>
          <w:numId w:val="69"/>
        </w:numPr>
        <w:rPr>
          <w:rFonts w:ascii="Symbol" w:cs="Symbol" w:eastAsia="Symbol" w:hAnsi="Symbol"/>
          <w:sz w:val="28"/>
          <w:szCs w:val="28"/>
          <w:color w:val="auto"/>
        </w:rPr>
      </w:pPr>
      <w:r>
        <w:rPr>
          <w:rFonts w:ascii="Times New Roman" w:cs="Times New Roman" w:eastAsia="Times New Roman" w:hAnsi="Times New Roman"/>
          <w:sz w:val="28"/>
          <w:szCs w:val="28"/>
          <w:color w:val="auto"/>
        </w:rPr>
        <w:t>оборудование и оснастка – 5 600 000 (увеличение в связи с проявившейся выгодностью продукта и уникальностью соответствующих специальных активов);</w:t>
      </w:r>
    </w:p>
    <w:p>
      <w:pPr>
        <w:spacing w:after="0" w:line="3" w:lineRule="exact"/>
        <w:rPr>
          <w:rFonts w:ascii="Symbol" w:cs="Symbol" w:eastAsia="Symbol" w:hAnsi="Symbol"/>
          <w:sz w:val="28"/>
          <w:szCs w:val="28"/>
          <w:color w:val="auto"/>
        </w:rPr>
      </w:pPr>
    </w:p>
    <w:p>
      <w:pPr>
        <w:jc w:val="both"/>
        <w:ind w:left="260" w:firstLine="711"/>
        <w:spacing w:after="0" w:line="234" w:lineRule="auto"/>
        <w:tabs>
          <w:tab w:leader="none" w:pos="1329" w:val="left"/>
        </w:tabs>
        <w:numPr>
          <w:ilvl w:val="1"/>
          <w:numId w:val="69"/>
        </w:numPr>
        <w:rPr>
          <w:rFonts w:ascii="Symbol" w:cs="Symbol" w:eastAsia="Symbol" w:hAnsi="Symbol"/>
          <w:sz w:val="28"/>
          <w:szCs w:val="28"/>
          <w:color w:val="auto"/>
        </w:rPr>
      </w:pPr>
      <w:r>
        <w:rPr>
          <w:rFonts w:ascii="Times New Roman" w:cs="Times New Roman" w:eastAsia="Times New Roman" w:hAnsi="Times New Roman"/>
          <w:sz w:val="28"/>
          <w:szCs w:val="28"/>
          <w:color w:val="auto"/>
        </w:rPr>
        <w:t>нематериальные активы – 2 100 000 (уменьшение из-за возрастающей вероятности утечки ноу-хау и перехода персонала к конкурентам).</w:t>
      </w:r>
    </w:p>
    <w:p>
      <w:pPr>
        <w:spacing w:after="0" w:line="3" w:lineRule="exact"/>
        <w:rPr>
          <w:rFonts w:ascii="Symbol" w:cs="Symbol" w:eastAsia="Symbol" w:hAnsi="Symbol"/>
          <w:sz w:val="28"/>
          <w:szCs w:val="28"/>
          <w:color w:val="auto"/>
        </w:rPr>
      </w:pPr>
    </w:p>
    <w:p>
      <w:pPr>
        <w:jc w:val="both"/>
        <w:ind w:left="260" w:firstLine="709"/>
        <w:spacing w:after="0" w:line="239" w:lineRule="auto"/>
        <w:rPr>
          <w:rFonts w:ascii="Symbol" w:cs="Symbol" w:eastAsia="Symbol" w:hAnsi="Symbol"/>
          <w:sz w:val="28"/>
          <w:szCs w:val="28"/>
          <w:color w:val="auto"/>
        </w:rPr>
      </w:pPr>
      <w:r>
        <w:rPr>
          <w:rFonts w:ascii="Times New Roman" w:cs="Times New Roman" w:eastAsia="Times New Roman" w:hAnsi="Times New Roman"/>
          <w:sz w:val="28"/>
          <w:szCs w:val="28"/>
          <w:color w:val="auto"/>
        </w:rPr>
        <w:t>По обязательствам предприятия на рассматриваемый будущий год к концу его планируется иметь просроченных (в пределах допускаемых соответствующими контрактами пени) обязательств на 450 000 руб. Пени по этим обязательствам, как ожидается, к концу будущего года накопятся в размере 150 000 руб.</w:t>
      </w:r>
    </w:p>
    <w:p>
      <w:pPr>
        <w:spacing w:after="0" w:line="6" w:lineRule="exact"/>
        <w:rPr>
          <w:rFonts w:ascii="Symbol" w:cs="Symbol" w:eastAsia="Symbol" w:hAnsi="Symbol"/>
          <w:sz w:val="28"/>
          <w:szCs w:val="28"/>
          <w:color w:val="auto"/>
        </w:rPr>
      </w:pPr>
    </w:p>
    <w:p>
      <w:pPr>
        <w:ind w:left="980"/>
        <w:spacing w:after="0"/>
        <w:rPr>
          <w:rFonts w:ascii="Symbol" w:cs="Symbol" w:eastAsia="Symbol" w:hAnsi="Symbol"/>
          <w:sz w:val="28"/>
          <w:szCs w:val="28"/>
          <w:color w:val="auto"/>
        </w:rPr>
      </w:pPr>
      <w:r>
        <w:rPr>
          <w:rFonts w:ascii="Times New Roman" w:cs="Times New Roman" w:eastAsia="Times New Roman" w:hAnsi="Times New Roman"/>
          <w:sz w:val="28"/>
          <w:szCs w:val="28"/>
          <w:color w:val="auto"/>
        </w:rPr>
        <w:t>Требуется оценить рыночную стоимость предприятия, прогнозируемую</w:t>
      </w:r>
    </w:p>
    <w:p>
      <w:pPr>
        <w:ind w:left="460" w:hanging="198"/>
        <w:spacing w:after="0"/>
        <w:tabs>
          <w:tab w:leader="none" w:pos="460" w:val="left"/>
        </w:tabs>
        <w:numPr>
          <w:ilvl w:val="0"/>
          <w:numId w:val="6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концу года, следующего за годом составления бизнес-плана предприятия.</w:t>
      </w:r>
    </w:p>
    <w:p>
      <w:pPr>
        <w:spacing w:after="0" w:line="321" w:lineRule="exact"/>
        <w:rPr>
          <w:rFonts w:ascii="Times New Roman" w:cs="Times New Roman" w:eastAsia="Times New Roman" w:hAnsi="Times New Roman"/>
          <w:sz w:val="28"/>
          <w:szCs w:val="28"/>
          <w:color w:val="auto"/>
        </w:rPr>
      </w:pPr>
    </w:p>
    <w:p>
      <w:pPr>
        <w:jc w:val="both"/>
        <w:ind w:left="260" w:firstLine="722"/>
        <w:spacing w:after="0" w:line="245" w:lineRule="auto"/>
        <w:tabs>
          <w:tab w:leader="none" w:pos="1264" w:val="left"/>
        </w:tabs>
        <w:numPr>
          <w:ilvl w:val="2"/>
          <w:numId w:val="6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Методом накопления активов стоимость закрытой компании оценена в 10 млн. руб. Насколько изменится эта оценка, если учесть, что сразу после ее получения компания взяла кредит в 5 млн. руб. на 2 года под 15% годовых и приобрела на открытом рынке специального оборудования на 2 млн. руб.? На 1 млн. руб. компания разместила подрядов на монтаж, наладку и пуск этого оборудования с оплатой по конечному результату. Рынок банковских кредитов - конкурентный.</w:t>
      </w:r>
    </w:p>
    <w:p>
      <w:pPr>
        <w:spacing w:after="0" w:line="275" w:lineRule="exact"/>
        <w:rPr>
          <w:rFonts w:ascii="Times New Roman" w:cs="Times New Roman" w:eastAsia="Times New Roman" w:hAnsi="Times New Roman"/>
          <w:sz w:val="28"/>
          <w:szCs w:val="28"/>
          <w:color w:val="auto"/>
        </w:rPr>
      </w:pPr>
    </w:p>
    <w:p>
      <w:pPr>
        <w:jc w:val="both"/>
        <w:ind w:left="260" w:firstLine="722"/>
        <w:spacing w:after="0" w:line="245" w:lineRule="auto"/>
        <w:tabs>
          <w:tab w:leader="none" w:pos="1273" w:val="left"/>
        </w:tabs>
        <w:numPr>
          <w:ilvl w:val="2"/>
          <w:numId w:val="6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 условиям предыдущей задачи оценить стоимость компании, если известно, что предприятие выпустило 500 облигаций номиналом по 1000 руб. и из них разместило на рынке по рыночной цене в 800 руб. за штуку 300 облигаций. Размещение происходило на конкурентных условиях и при быстром установлении публичной обращаемости размещаемых облигаций. Издержки на размещение облигаций малы, ими можно пренебречь. Номинальная ставка по облигации - 15% к номиналу, срок погашения - 5 лет.</w:t>
      </w:r>
    </w:p>
    <w:p>
      <w:pPr>
        <w:spacing w:after="0" w:line="274" w:lineRule="exact"/>
        <w:rPr>
          <w:sz w:val="20"/>
          <w:szCs w:val="20"/>
          <w:color w:val="auto"/>
        </w:rPr>
      </w:pPr>
    </w:p>
    <w:p>
      <w:pPr>
        <w:jc w:val="center"/>
        <w:ind w:right="-259"/>
        <w:spacing w:after="0" w:line="479" w:lineRule="auto"/>
        <w:rPr>
          <w:sz w:val="20"/>
          <w:szCs w:val="20"/>
          <w:color w:val="auto"/>
        </w:rPr>
      </w:pPr>
      <w:r>
        <w:rPr>
          <w:rFonts w:ascii="Times New Roman" w:cs="Times New Roman" w:eastAsia="Times New Roman" w:hAnsi="Times New Roman"/>
          <w:sz w:val="28"/>
          <w:szCs w:val="28"/>
          <w:color w:val="auto"/>
        </w:rPr>
        <w:t>3.1. Оценка рыночной стоимости недвижимого имущества предприятия ДЕМОНСТРАЦИОННЫЕ ЗАДАЧИ</w:t>
      </w:r>
    </w:p>
    <w:p>
      <w:pPr>
        <w:spacing w:after="0" w:line="2" w:lineRule="exact"/>
        <w:rPr>
          <w:sz w:val="20"/>
          <w:szCs w:val="20"/>
          <w:color w:val="auto"/>
        </w:rPr>
      </w:pPr>
    </w:p>
    <w:p>
      <w:pPr>
        <w:ind w:left="260" w:firstLine="720"/>
        <w:spacing w:after="0"/>
        <w:rPr>
          <w:sz w:val="20"/>
          <w:szCs w:val="20"/>
          <w:color w:val="auto"/>
        </w:rPr>
      </w:pPr>
      <w:r>
        <w:rPr>
          <w:rFonts w:ascii="Times New Roman" w:cs="Times New Roman" w:eastAsia="Times New Roman" w:hAnsi="Times New Roman"/>
          <w:sz w:val="28"/>
          <w:szCs w:val="28"/>
          <w:u w:val="single" w:color="auto"/>
          <w:color w:val="auto"/>
        </w:rPr>
        <w:t>Задача</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u w:val="single" w:color="auto"/>
          <w:color w:val="auto"/>
        </w:rPr>
        <w:t>3.1.1.</w:t>
      </w:r>
      <w:r>
        <w:rPr>
          <w:rFonts w:ascii="Times New Roman" w:cs="Times New Roman" w:eastAsia="Times New Roman" w:hAnsi="Times New Roman"/>
          <w:sz w:val="28"/>
          <w:szCs w:val="28"/>
          <w:color w:val="auto"/>
        </w:rPr>
        <w:t xml:space="preserve"> Сопоставимый объект был придан за 1 000 000 руб. и от оцениваемого объекта он имеет пять основных отличий:</w:t>
      </w:r>
    </w:p>
    <w:p>
      <w:pPr>
        <w:ind w:left="1340" w:hanging="358"/>
        <w:spacing w:after="0"/>
        <w:tabs>
          <w:tab w:leader="none" w:pos="1340" w:val="left"/>
        </w:tabs>
        <w:numPr>
          <w:ilvl w:val="0"/>
          <w:numId w:val="7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уступает оцениваемому на 5%;</w:t>
      </w:r>
    </w:p>
    <w:p>
      <w:pPr>
        <w:ind w:left="1340" w:hanging="358"/>
        <w:spacing w:after="0"/>
        <w:tabs>
          <w:tab w:leader="none" w:pos="1340" w:val="left"/>
        </w:tabs>
        <w:numPr>
          <w:ilvl w:val="0"/>
          <w:numId w:val="7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лучше оцениваемого на 7%;</w:t>
      </w:r>
    </w:p>
    <w:p>
      <w:pPr>
        <w:ind w:left="1340" w:hanging="358"/>
        <w:spacing w:after="0"/>
        <w:tabs>
          <w:tab w:leader="none" w:pos="1340" w:val="left"/>
        </w:tabs>
        <w:numPr>
          <w:ilvl w:val="0"/>
          <w:numId w:val="7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лучше оцениваемого на 4%;</w:t>
      </w:r>
    </w:p>
    <w:p>
      <w:pPr>
        <w:ind w:left="1340" w:hanging="358"/>
        <w:spacing w:after="0"/>
        <w:tabs>
          <w:tab w:leader="none" w:pos="1340" w:val="left"/>
        </w:tabs>
        <w:numPr>
          <w:ilvl w:val="0"/>
          <w:numId w:val="7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лучше оцениваемого на 2%;</w:t>
      </w:r>
    </w:p>
    <w:p>
      <w:pPr>
        <w:sectPr>
          <w:pgSz w:w="11900" w:h="16840" w:orient="portrait"/>
          <w:cols w:equalWidth="0" w:num="1">
            <w:col w:w="9620"/>
          </w:cols>
          <w:pgMar w:left="1440" w:top="1112" w:right="844" w:bottom="163" w:gutter="0" w:footer="0" w:header="0"/>
        </w:sectPr>
      </w:pPr>
    </w:p>
    <w:p>
      <w:pPr>
        <w:spacing w:after="0" w:line="175" w:lineRule="exact"/>
        <w:rPr>
          <w:sz w:val="20"/>
          <w:szCs w:val="20"/>
          <w:color w:val="auto"/>
        </w:rPr>
      </w:pPr>
    </w:p>
    <w:p>
      <w:pPr>
        <w:ind w:left="9380"/>
        <w:spacing w:after="0"/>
        <w:rPr>
          <w:sz w:val="20"/>
          <w:szCs w:val="20"/>
          <w:color w:val="auto"/>
        </w:rPr>
      </w:pPr>
      <w:r>
        <w:rPr>
          <w:rFonts w:ascii="Times New Roman" w:cs="Times New Roman" w:eastAsia="Times New Roman" w:hAnsi="Times New Roman"/>
          <w:sz w:val="24"/>
          <w:szCs w:val="24"/>
          <w:color w:val="auto"/>
        </w:rPr>
        <w:t>26</w:t>
      </w:r>
    </w:p>
    <w:p>
      <w:pPr>
        <w:sectPr>
          <w:pgSz w:w="11900" w:h="16840" w:orient="portrait"/>
          <w:cols w:equalWidth="0" w:num="1">
            <w:col w:w="9620"/>
          </w:cols>
          <w:pgMar w:left="1440" w:top="1112" w:right="844" w:bottom="163" w:gutter="0" w:footer="0" w:header="0"/>
          <w:type w:val="continuous"/>
        </w:sectPr>
      </w:pPr>
    </w:p>
    <w:p>
      <w:pPr>
        <w:ind w:left="980" w:right="4440" w:firstLine="2"/>
        <w:spacing w:after="0"/>
        <w:tabs>
          <w:tab w:leader="none" w:pos="1340" w:val="left"/>
        </w:tabs>
        <w:numPr>
          <w:ilvl w:val="0"/>
          <w:numId w:val="7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уступает оцениваемому на 10%. Оценить объект считая что:</w:t>
      </w:r>
    </w:p>
    <w:p>
      <w:pPr>
        <w:jc w:val="both"/>
        <w:ind w:left="980" w:right="3720"/>
        <w:spacing w:after="0" w:line="289" w:lineRule="auto"/>
        <w:rPr>
          <w:rFonts w:ascii="Times New Roman" w:cs="Times New Roman" w:eastAsia="Times New Roman" w:hAnsi="Times New Roman"/>
          <w:sz w:val="28"/>
          <w:szCs w:val="28"/>
          <w:color w:val="auto"/>
        </w:rPr>
      </w:pPr>
      <w:r>
        <w:rPr>
          <w:rFonts w:ascii="Times New Roman" w:cs="Times New Roman" w:eastAsia="Times New Roman" w:hAnsi="Times New Roman"/>
          <w:sz w:val="27"/>
          <w:szCs w:val="27"/>
          <w:color w:val="auto"/>
        </w:rPr>
        <w:t>а) отличия не имеют взаимного влияния; б) отличия оказывают взаимное влияние.</w:t>
      </w:r>
    </w:p>
    <w:p>
      <w:pPr>
        <w:spacing w:after="0" w:line="218" w:lineRule="exact"/>
        <w:rPr>
          <w:sz w:val="20"/>
          <w:szCs w:val="20"/>
          <w:color w:val="auto"/>
        </w:rPr>
      </w:pPr>
    </w:p>
    <w:p>
      <w:pPr>
        <w:ind w:left="980"/>
        <w:spacing w:after="0"/>
        <w:rPr>
          <w:sz w:val="20"/>
          <w:szCs w:val="20"/>
          <w:color w:val="auto"/>
        </w:rPr>
      </w:pPr>
      <w:r>
        <w:rPr>
          <w:rFonts w:ascii="Times New Roman" w:cs="Times New Roman" w:eastAsia="Times New Roman" w:hAnsi="Times New Roman"/>
          <w:sz w:val="28"/>
          <w:szCs w:val="28"/>
          <w:u w:val="single" w:color="auto"/>
          <w:color w:val="auto"/>
        </w:rPr>
        <w:t>Решение.</w:t>
      </w:r>
    </w:p>
    <w:p>
      <w:pPr>
        <w:ind w:left="260" w:firstLine="720"/>
        <w:spacing w:after="0" w:line="239" w:lineRule="auto"/>
        <w:rPr>
          <w:sz w:val="20"/>
          <w:szCs w:val="20"/>
          <w:color w:val="auto"/>
        </w:rPr>
      </w:pPr>
      <w:r>
        <w:rPr>
          <w:rFonts w:ascii="Times New Roman" w:cs="Times New Roman" w:eastAsia="Times New Roman" w:hAnsi="Times New Roman"/>
          <w:sz w:val="28"/>
          <w:szCs w:val="28"/>
          <w:color w:val="auto"/>
        </w:rPr>
        <w:t>а) Если данные отличия не имеют взаимного влияния, то их абсолютные значения составят: +50 000-70 000-40 000-20 000+ 100 000 =</w:t>
      </w:r>
    </w:p>
    <w:p>
      <w:pPr>
        <w:spacing w:after="0" w:line="2" w:lineRule="exact"/>
        <w:rPr>
          <w:sz w:val="20"/>
          <w:szCs w:val="20"/>
          <w:color w:val="auto"/>
        </w:rPr>
      </w:pPr>
    </w:p>
    <w:p>
      <w:pPr>
        <w:ind w:left="260" w:firstLine="2"/>
        <w:spacing w:after="0"/>
        <w:tabs>
          <w:tab w:leader="none" w:pos="611" w:val="left"/>
        </w:tabs>
        <w:numPr>
          <w:ilvl w:val="0"/>
          <w:numId w:val="7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+20 000 руб. Следовательно стоимость оцениваемого объекта можно оценить в 1 020 000 руб.</w:t>
      </w:r>
    </w:p>
    <w:p>
      <w:pPr>
        <w:jc w:val="both"/>
        <w:ind w:left="260" w:firstLine="720"/>
        <w:spacing w:after="0" w:line="239"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б) Если считать, что данные отличия оказывают взаимное влияние, то соответствующие им процентные корректировки необходимо перемножить: 1,05 · 0,93 · 0,96 · 0,98 · 1,10= 1,0106. Следовательно общая корректировка составить + 1,06% или 10 600 руб. и стоимость объекта может быть оценена в</w:t>
      </w:r>
    </w:p>
    <w:p>
      <w:pPr>
        <w:spacing w:after="0" w:line="5" w:lineRule="exact"/>
        <w:rPr>
          <w:rFonts w:ascii="Times New Roman" w:cs="Times New Roman" w:eastAsia="Times New Roman" w:hAnsi="Times New Roman"/>
          <w:sz w:val="28"/>
          <w:szCs w:val="28"/>
          <w:color w:val="auto"/>
        </w:rPr>
      </w:pPr>
    </w:p>
    <w:p>
      <w:pPr>
        <w:ind w:left="26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1 010 600 руб.</w:t>
      </w:r>
    </w:p>
    <w:p>
      <w:pPr>
        <w:spacing w:after="0" w:line="322" w:lineRule="exact"/>
        <w:rPr>
          <w:sz w:val="20"/>
          <w:szCs w:val="20"/>
          <w:color w:val="auto"/>
        </w:rPr>
      </w:pPr>
    </w:p>
    <w:p>
      <w:pPr>
        <w:jc w:val="both"/>
        <w:ind w:left="260" w:firstLine="720"/>
        <w:spacing w:after="0"/>
        <w:rPr>
          <w:sz w:val="20"/>
          <w:szCs w:val="20"/>
          <w:color w:val="auto"/>
        </w:rPr>
      </w:pPr>
      <w:r>
        <w:rPr>
          <w:rFonts w:ascii="Times New Roman" w:cs="Times New Roman" w:eastAsia="Times New Roman" w:hAnsi="Times New Roman"/>
          <w:sz w:val="28"/>
          <w:szCs w:val="28"/>
          <w:u w:val="single" w:color="auto"/>
          <w:color w:val="auto"/>
        </w:rPr>
        <w:t>Задача</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u w:val="single" w:color="auto"/>
          <w:color w:val="auto"/>
        </w:rPr>
        <w:t>3.1.2.</w:t>
      </w:r>
      <w:r>
        <w:rPr>
          <w:rFonts w:ascii="Times New Roman" w:cs="Times New Roman" w:eastAsia="Times New Roman" w:hAnsi="Times New Roman"/>
          <w:sz w:val="28"/>
          <w:szCs w:val="28"/>
          <w:color w:val="auto"/>
        </w:rPr>
        <w:t xml:space="preserve"> Двухкомнатная квартира с балконом была продана на 500 000 руб. дороже, чем такая же без балкона.</w:t>
      </w:r>
    </w:p>
    <w:p>
      <w:pPr>
        <w:ind w:left="980"/>
        <w:spacing w:after="0"/>
        <w:rPr>
          <w:sz w:val="20"/>
          <w:szCs w:val="20"/>
          <w:color w:val="auto"/>
        </w:rPr>
      </w:pPr>
      <w:r>
        <w:rPr>
          <w:rFonts w:ascii="Times New Roman" w:cs="Times New Roman" w:eastAsia="Times New Roman" w:hAnsi="Times New Roman"/>
          <w:sz w:val="28"/>
          <w:szCs w:val="28"/>
          <w:color w:val="auto"/>
        </w:rPr>
        <w:t>Трехкомнатная квартира с балконом была продана на 460 000 руб.</w:t>
      </w:r>
    </w:p>
    <w:p>
      <w:pPr>
        <w:ind w:left="260"/>
        <w:spacing w:after="0"/>
        <w:rPr>
          <w:sz w:val="20"/>
          <w:szCs w:val="20"/>
          <w:color w:val="auto"/>
        </w:rPr>
      </w:pPr>
      <w:r>
        <w:rPr>
          <w:rFonts w:ascii="Times New Roman" w:cs="Times New Roman" w:eastAsia="Times New Roman" w:hAnsi="Times New Roman"/>
          <w:sz w:val="28"/>
          <w:szCs w:val="28"/>
          <w:color w:val="auto"/>
        </w:rPr>
        <w:t>дороже, чем такая же без балкона.</w:t>
      </w:r>
    </w:p>
    <w:p>
      <w:pPr>
        <w:ind w:left="980"/>
        <w:spacing w:after="0"/>
        <w:rPr>
          <w:sz w:val="20"/>
          <w:szCs w:val="20"/>
          <w:color w:val="auto"/>
        </w:rPr>
      </w:pPr>
      <w:r>
        <w:rPr>
          <w:rFonts w:ascii="Times New Roman" w:cs="Times New Roman" w:eastAsia="Times New Roman" w:hAnsi="Times New Roman"/>
          <w:sz w:val="28"/>
          <w:szCs w:val="28"/>
          <w:color w:val="auto"/>
        </w:rPr>
        <w:t>Однокомнатная квартира с балконом была продана на 520 000 руб.</w:t>
      </w:r>
    </w:p>
    <w:p>
      <w:pPr>
        <w:ind w:left="260"/>
        <w:spacing w:after="0"/>
        <w:rPr>
          <w:sz w:val="20"/>
          <w:szCs w:val="20"/>
          <w:color w:val="auto"/>
        </w:rPr>
      </w:pPr>
      <w:r>
        <w:rPr>
          <w:rFonts w:ascii="Times New Roman" w:cs="Times New Roman" w:eastAsia="Times New Roman" w:hAnsi="Times New Roman"/>
          <w:sz w:val="28"/>
          <w:szCs w:val="28"/>
          <w:color w:val="auto"/>
        </w:rPr>
        <w:t>дороже, чем такая же без балкона.</w:t>
      </w:r>
    </w:p>
    <w:p>
      <w:pPr>
        <w:ind w:left="980"/>
        <w:spacing w:after="0"/>
        <w:rPr>
          <w:sz w:val="20"/>
          <w:szCs w:val="20"/>
          <w:color w:val="auto"/>
        </w:rPr>
      </w:pPr>
      <w:r>
        <w:rPr>
          <w:rFonts w:ascii="Times New Roman" w:cs="Times New Roman" w:eastAsia="Times New Roman" w:hAnsi="Times New Roman"/>
          <w:sz w:val="28"/>
          <w:szCs w:val="28"/>
          <w:color w:val="auto"/>
        </w:rPr>
        <w:t>Определить величину корректировки на наличие балкона.</w:t>
      </w:r>
    </w:p>
    <w:p>
      <w:pPr>
        <w:spacing w:after="0" w:line="321" w:lineRule="exact"/>
        <w:rPr>
          <w:sz w:val="20"/>
          <w:szCs w:val="20"/>
          <w:color w:val="auto"/>
        </w:rPr>
      </w:pPr>
    </w:p>
    <w:p>
      <w:pPr>
        <w:ind w:left="980"/>
        <w:spacing w:after="0"/>
        <w:rPr>
          <w:sz w:val="20"/>
          <w:szCs w:val="20"/>
          <w:color w:val="auto"/>
        </w:rPr>
      </w:pPr>
      <w:r>
        <w:rPr>
          <w:rFonts w:ascii="Times New Roman" w:cs="Times New Roman" w:eastAsia="Times New Roman" w:hAnsi="Times New Roman"/>
          <w:sz w:val="28"/>
          <w:szCs w:val="28"/>
          <w:u w:val="single" w:color="auto"/>
          <w:color w:val="auto"/>
        </w:rPr>
        <w:t>Решение.</w:t>
      </w:r>
    </w:p>
    <w:p>
      <w:pPr>
        <w:spacing w:after="0" w:line="1" w:lineRule="exact"/>
        <w:rPr>
          <w:sz w:val="20"/>
          <w:szCs w:val="20"/>
          <w:color w:val="auto"/>
        </w:rPr>
      </w:pPr>
    </w:p>
    <w:p>
      <w:pPr>
        <w:jc w:val="both"/>
        <w:ind w:left="260" w:firstLine="720"/>
        <w:spacing w:after="0" w:line="250" w:lineRule="auto"/>
        <w:rPr>
          <w:sz w:val="20"/>
          <w:szCs w:val="20"/>
          <w:color w:val="auto"/>
        </w:rPr>
      </w:pPr>
      <w:r>
        <w:rPr>
          <w:rFonts w:ascii="Times New Roman" w:cs="Times New Roman" w:eastAsia="Times New Roman" w:hAnsi="Times New Roman"/>
          <w:sz w:val="28"/>
          <w:szCs w:val="28"/>
          <w:color w:val="auto"/>
        </w:rPr>
        <w:t>Из данной информации оценщик может сделать вывод о том, что величину корректировки на наличие балкона можно рассчитать как среднее значение данных величин, что составит увеличение стоимости квартиры примерно на 490 000 руб. - (500 000 + 460 000 + 520 000) / 3 = 490 000 руб.</w:t>
      </w:r>
    </w:p>
    <w:p>
      <w:pPr>
        <w:spacing w:after="0" w:line="268" w:lineRule="exact"/>
        <w:rPr>
          <w:sz w:val="20"/>
          <w:szCs w:val="20"/>
          <w:color w:val="auto"/>
        </w:rPr>
      </w:pPr>
    </w:p>
    <w:p>
      <w:pPr>
        <w:jc w:val="both"/>
        <w:ind w:left="260" w:firstLine="720"/>
        <w:spacing w:after="0"/>
        <w:rPr>
          <w:sz w:val="20"/>
          <w:szCs w:val="20"/>
          <w:color w:val="auto"/>
        </w:rPr>
      </w:pPr>
      <w:r>
        <w:rPr>
          <w:rFonts w:ascii="Times New Roman" w:cs="Times New Roman" w:eastAsia="Times New Roman" w:hAnsi="Times New Roman"/>
          <w:sz w:val="28"/>
          <w:szCs w:val="28"/>
          <w:u w:val="single" w:color="auto"/>
          <w:color w:val="auto"/>
        </w:rPr>
        <w:t>Задача</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u w:val="single" w:color="auto"/>
          <w:color w:val="auto"/>
        </w:rPr>
        <w:t>3.1.3.</w:t>
      </w:r>
      <w:r>
        <w:rPr>
          <w:rFonts w:ascii="Times New Roman" w:cs="Times New Roman" w:eastAsia="Times New Roman" w:hAnsi="Times New Roman"/>
          <w:sz w:val="28"/>
          <w:szCs w:val="28"/>
          <w:color w:val="auto"/>
        </w:rPr>
        <w:t xml:space="preserve"> Объект оценки - коттедж. Сопоставимый объект был продан за 1000000 руб . Сопоставимый объект имеет на 50 квадратных метров большую площадь и подземный гараж. Оцениваемый объект не имеет гаража, но имеет больший по площади земельный участок.</w:t>
      </w:r>
    </w:p>
    <w:p>
      <w:pPr>
        <w:spacing w:after="0" w:line="1" w:lineRule="exact"/>
        <w:rPr>
          <w:sz w:val="20"/>
          <w:szCs w:val="20"/>
          <w:color w:val="auto"/>
        </w:rPr>
      </w:pPr>
    </w:p>
    <w:p>
      <w:pPr>
        <w:jc w:val="both"/>
        <w:ind w:left="260" w:firstLine="720"/>
        <w:spacing w:after="0" w:line="250" w:lineRule="auto"/>
        <w:rPr>
          <w:sz w:val="20"/>
          <w:szCs w:val="20"/>
          <w:color w:val="auto"/>
        </w:rPr>
      </w:pPr>
      <w:r>
        <w:rPr>
          <w:rFonts w:ascii="Times New Roman" w:cs="Times New Roman" w:eastAsia="Times New Roman" w:hAnsi="Times New Roman"/>
          <w:sz w:val="28"/>
          <w:szCs w:val="28"/>
          <w:color w:val="auto"/>
        </w:rPr>
        <w:t>Из анализа продаж оценщик выяснил, что наличие большего земельного участка дает поправку в 25% к стоимости объекта, наличие гаража 100 000 руб., а каждый лишний квадратный метр площади соответствует поправке в 8 000 руб. Определить стоимость коттеджа.</w:t>
      </w:r>
    </w:p>
    <w:p>
      <w:pPr>
        <w:spacing w:after="0" w:line="267" w:lineRule="exact"/>
        <w:rPr>
          <w:sz w:val="20"/>
          <w:szCs w:val="20"/>
          <w:color w:val="auto"/>
        </w:rPr>
      </w:pPr>
    </w:p>
    <w:p>
      <w:pPr>
        <w:ind w:left="980"/>
        <w:spacing w:after="0"/>
        <w:rPr>
          <w:sz w:val="20"/>
          <w:szCs w:val="20"/>
          <w:color w:val="auto"/>
        </w:rPr>
      </w:pPr>
      <w:r>
        <w:rPr>
          <w:rFonts w:ascii="Times New Roman" w:cs="Times New Roman" w:eastAsia="Times New Roman" w:hAnsi="Times New Roman"/>
          <w:sz w:val="28"/>
          <w:szCs w:val="28"/>
          <w:u w:val="single" w:color="auto"/>
          <w:color w:val="auto"/>
        </w:rPr>
        <w:t>Решение.</w:t>
      </w:r>
    </w:p>
    <w:p>
      <w:pPr>
        <w:ind w:left="980"/>
        <w:spacing w:after="0"/>
        <w:rPr>
          <w:sz w:val="20"/>
          <w:szCs w:val="20"/>
          <w:color w:val="auto"/>
        </w:rPr>
      </w:pPr>
      <w:r>
        <w:rPr>
          <w:rFonts w:ascii="Times New Roman" w:cs="Times New Roman" w:eastAsia="Times New Roman" w:hAnsi="Times New Roman"/>
          <w:sz w:val="28"/>
          <w:szCs w:val="28"/>
          <w:color w:val="auto"/>
        </w:rPr>
        <w:t>Корректировка на размер участка составляет 250 000 руб. (+ 1 000 000 ·</w:t>
      </w:r>
    </w:p>
    <w:p>
      <w:pPr>
        <w:ind w:left="260"/>
        <w:spacing w:after="0"/>
        <w:tabs>
          <w:tab w:leader="none" w:pos="960" w:val="left"/>
          <w:tab w:leader="none" w:pos="1360" w:val="left"/>
          <w:tab w:leader="none" w:pos="2660" w:val="left"/>
        </w:tabs>
        <w:rPr>
          <w:sz w:val="20"/>
          <w:szCs w:val="20"/>
          <w:color w:val="auto"/>
        </w:rPr>
      </w:pPr>
      <w:r>
        <w:rPr>
          <w:rFonts w:ascii="Times New Roman" w:cs="Times New Roman" w:eastAsia="Times New Roman" w:hAnsi="Times New Roman"/>
          <w:sz w:val="28"/>
          <w:szCs w:val="28"/>
          <w:color w:val="auto"/>
        </w:rPr>
        <w:t>0,25</w:t>
        <w:tab/>
        <w:t>=</w:t>
        <w:tab/>
        <w:t>250 000).</w:t>
      </w:r>
      <w:r>
        <w:rPr>
          <w:sz w:val="20"/>
          <w:szCs w:val="20"/>
          <w:color w:val="auto"/>
        </w:rPr>
        <w:tab/>
      </w:r>
      <w:r>
        <w:rPr>
          <w:rFonts w:ascii="Times New Roman" w:cs="Times New Roman" w:eastAsia="Times New Roman" w:hAnsi="Times New Roman"/>
          <w:sz w:val="28"/>
          <w:szCs w:val="28"/>
          <w:color w:val="auto"/>
        </w:rPr>
        <w:t>Корректировка  на  гараж  составляет  -  100 000  руб.</w:t>
      </w:r>
    </w:p>
    <w:p>
      <w:pPr>
        <w:ind w:left="260"/>
        <w:spacing w:after="0"/>
        <w:rPr>
          <w:sz w:val="20"/>
          <w:szCs w:val="20"/>
          <w:color w:val="auto"/>
        </w:rPr>
      </w:pPr>
      <w:r>
        <w:rPr>
          <w:rFonts w:ascii="Times New Roman" w:cs="Times New Roman" w:eastAsia="Times New Roman" w:hAnsi="Times New Roman"/>
          <w:sz w:val="28"/>
          <w:szCs w:val="28"/>
          <w:color w:val="auto"/>
        </w:rPr>
        <w:t>Корректировка на площадь - 400 000 руб. (- 8 000 · 50 = - 400 000).</w:t>
      </w:r>
    </w:p>
    <w:p>
      <w:pPr>
        <w:jc w:val="both"/>
        <w:ind w:left="260" w:firstLine="720"/>
        <w:spacing w:after="0" w:line="271" w:lineRule="auto"/>
        <w:rPr>
          <w:sz w:val="20"/>
          <w:szCs w:val="20"/>
          <w:color w:val="auto"/>
        </w:rPr>
      </w:pPr>
      <w:r>
        <w:rPr>
          <w:rFonts w:ascii="Times New Roman" w:cs="Times New Roman" w:eastAsia="Times New Roman" w:hAnsi="Times New Roman"/>
          <w:sz w:val="28"/>
          <w:szCs w:val="28"/>
          <w:color w:val="auto"/>
        </w:rPr>
        <w:t>Суммарная корректировка составляет - 250 000 руб. Следовательно, стоимость коттеджа можно оценить в 750 000 руб.</w:t>
      </w:r>
    </w:p>
    <w:p>
      <w:pPr>
        <w:sectPr>
          <w:pgSz w:w="11900" w:h="16840" w:orient="portrait"/>
          <w:cols w:equalWidth="0" w:num="1">
            <w:col w:w="9620"/>
          </w:cols>
          <w:pgMar w:left="1440" w:top="1112" w:right="844" w:bottom="163" w:gutter="0" w:footer="0" w:header="0"/>
        </w:sectPr>
      </w:pPr>
    </w:p>
    <w:p>
      <w:pPr>
        <w:spacing w:after="0" w:line="152" w:lineRule="exact"/>
        <w:rPr>
          <w:sz w:val="20"/>
          <w:szCs w:val="20"/>
          <w:color w:val="auto"/>
        </w:rPr>
      </w:pPr>
    </w:p>
    <w:p>
      <w:pPr>
        <w:ind w:left="9380"/>
        <w:spacing w:after="0"/>
        <w:rPr>
          <w:sz w:val="20"/>
          <w:szCs w:val="20"/>
          <w:color w:val="auto"/>
        </w:rPr>
      </w:pPr>
      <w:r>
        <w:rPr>
          <w:rFonts w:ascii="Times New Roman" w:cs="Times New Roman" w:eastAsia="Times New Roman" w:hAnsi="Times New Roman"/>
          <w:sz w:val="24"/>
          <w:szCs w:val="24"/>
          <w:color w:val="auto"/>
        </w:rPr>
        <w:t>27</w:t>
      </w:r>
    </w:p>
    <w:p>
      <w:pPr>
        <w:sectPr>
          <w:pgSz w:w="11900" w:h="16840" w:orient="portrait"/>
          <w:cols w:equalWidth="0" w:num="1">
            <w:col w:w="9620"/>
          </w:cols>
          <w:pgMar w:left="1440" w:top="1112" w:right="844" w:bottom="163" w:gutter="0" w:footer="0" w:header="0"/>
          <w:type w:val="continuous"/>
        </w:sectPr>
      </w:pPr>
    </w:p>
    <w:p>
      <w:pPr>
        <w:jc w:val="both"/>
        <w:ind w:left="260" w:firstLine="720"/>
        <w:spacing w:after="0" w:line="245" w:lineRule="auto"/>
        <w:rPr>
          <w:sz w:val="20"/>
          <w:szCs w:val="20"/>
          <w:color w:val="auto"/>
        </w:rPr>
      </w:pPr>
      <w:r>
        <w:rPr>
          <w:rFonts w:ascii="Times New Roman" w:cs="Times New Roman" w:eastAsia="Times New Roman" w:hAnsi="Times New Roman"/>
          <w:sz w:val="28"/>
          <w:szCs w:val="28"/>
          <w:u w:val="single" w:color="auto"/>
          <w:color w:val="auto"/>
        </w:rPr>
        <w:t>Задача</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u w:val="single" w:color="auto"/>
          <w:color w:val="auto"/>
        </w:rPr>
        <w:t>3.1.4.</w:t>
      </w:r>
      <w:r>
        <w:rPr>
          <w:rFonts w:ascii="Times New Roman" w:cs="Times New Roman" w:eastAsia="Times New Roman" w:hAnsi="Times New Roman"/>
          <w:sz w:val="28"/>
          <w:szCs w:val="28"/>
          <w:color w:val="auto"/>
        </w:rPr>
        <w:t xml:space="preserve"> Гостиница может приносить, при полной загрузке, ежегодный потенциальный валовый доход в 5 000 000 руб. Расходы на техническое обслуживание составляют 350 000 руб., на оплату персонала 2 200 000 руб., налог на недвижимость 180 000 руб., средняя загрузка аналогичных гостиниц в данном районе 80%. Определить стоимость гостиницы , если коэффициент капитализации для аналогичных объектов составляет 12%.</w:t>
      </w:r>
    </w:p>
    <w:p>
      <w:pPr>
        <w:spacing w:after="0" w:line="274" w:lineRule="exact"/>
        <w:rPr>
          <w:sz w:val="20"/>
          <w:szCs w:val="20"/>
          <w:color w:val="auto"/>
        </w:rPr>
      </w:pPr>
    </w:p>
    <w:p>
      <w:pPr>
        <w:ind w:left="980"/>
        <w:spacing w:after="0"/>
        <w:rPr>
          <w:sz w:val="20"/>
          <w:szCs w:val="20"/>
          <w:color w:val="auto"/>
        </w:rPr>
      </w:pPr>
      <w:r>
        <w:rPr>
          <w:rFonts w:ascii="Times New Roman" w:cs="Times New Roman" w:eastAsia="Times New Roman" w:hAnsi="Times New Roman"/>
          <w:sz w:val="28"/>
          <w:szCs w:val="28"/>
          <w:u w:val="single" w:color="auto"/>
          <w:color w:val="auto"/>
        </w:rPr>
        <w:t>Решение.</w:t>
      </w:r>
    </w:p>
    <w:p>
      <w:pPr>
        <w:spacing w:after="0" w:line="1" w:lineRule="exact"/>
        <w:rPr>
          <w:sz w:val="20"/>
          <w:szCs w:val="20"/>
          <w:color w:val="auto"/>
        </w:rPr>
      </w:pPr>
    </w:p>
    <w:p>
      <w:pPr>
        <w:jc w:val="both"/>
        <w:ind w:left="260" w:firstLine="720"/>
        <w:spacing w:after="0" w:line="239" w:lineRule="auto"/>
        <w:rPr>
          <w:sz w:val="20"/>
          <w:szCs w:val="20"/>
          <w:color w:val="auto"/>
        </w:rPr>
      </w:pPr>
      <w:r>
        <w:rPr>
          <w:rFonts w:ascii="Times New Roman" w:cs="Times New Roman" w:eastAsia="Times New Roman" w:hAnsi="Times New Roman"/>
          <w:sz w:val="28"/>
          <w:szCs w:val="28"/>
          <w:color w:val="auto"/>
        </w:rPr>
        <w:t>Для использования основной формулы капитализации необходимо получить значение чистого операционного дохода. Действительный валовый доход с учетом загрузки составляет 4 000 000 руб. (5 000 000 · 0,8 = 4 000 000). Кроме того, необходимо вычесть операционные расходы на техническое обслуживание и оплату персонала 4 000 000 - 2 200 000 - 350 000</w:t>
      </w:r>
    </w:p>
    <w:p>
      <w:pPr>
        <w:spacing w:after="0" w:line="6" w:lineRule="exact"/>
        <w:rPr>
          <w:sz w:val="20"/>
          <w:szCs w:val="20"/>
          <w:color w:val="auto"/>
        </w:rPr>
      </w:pPr>
    </w:p>
    <w:p>
      <w:pPr>
        <w:jc w:val="both"/>
        <w:ind w:left="260" w:firstLine="2"/>
        <w:spacing w:after="0" w:line="255" w:lineRule="auto"/>
        <w:tabs>
          <w:tab w:leader="none" w:pos="505" w:val="left"/>
        </w:tabs>
        <w:numPr>
          <w:ilvl w:val="0"/>
          <w:numId w:val="7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1 450 000 руб. Налоги не относятся к операционным расходам, поэтому их вычитать не нужно. Применяя основную формулу, получаем 12083 333 руб. (1 450 000/0,12 = 12 083 333).</w:t>
      </w:r>
    </w:p>
    <w:p>
      <w:pPr>
        <w:spacing w:after="0" w:line="263" w:lineRule="exact"/>
        <w:rPr>
          <w:sz w:val="20"/>
          <w:szCs w:val="20"/>
          <w:color w:val="auto"/>
        </w:rPr>
      </w:pPr>
    </w:p>
    <w:p>
      <w:pPr>
        <w:jc w:val="both"/>
        <w:ind w:left="260" w:firstLine="720"/>
        <w:spacing w:after="0" w:line="245" w:lineRule="auto"/>
        <w:rPr>
          <w:sz w:val="20"/>
          <w:szCs w:val="20"/>
          <w:color w:val="auto"/>
        </w:rPr>
      </w:pPr>
      <w:r>
        <w:rPr>
          <w:rFonts w:ascii="Times New Roman" w:cs="Times New Roman" w:eastAsia="Times New Roman" w:hAnsi="Times New Roman"/>
          <w:sz w:val="28"/>
          <w:szCs w:val="28"/>
          <w:u w:val="single" w:color="auto"/>
          <w:color w:val="auto"/>
        </w:rPr>
        <w:t>Задача</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u w:val="single" w:color="auto"/>
          <w:color w:val="auto"/>
        </w:rPr>
        <w:t>3.1.5.</w:t>
      </w:r>
      <w:r>
        <w:rPr>
          <w:rFonts w:ascii="Times New Roman" w:cs="Times New Roman" w:eastAsia="Times New Roman" w:hAnsi="Times New Roman"/>
          <w:sz w:val="28"/>
          <w:szCs w:val="28"/>
          <w:color w:val="auto"/>
        </w:rPr>
        <w:t xml:space="preserve"> Объектом оценки является право аренды офисного центра. Предположим ставка по государственным обязательствам составляет 8,4%. Оценщик считает риск может быть оценен в 5%, а привлечение дополнительных ресурсов не потребуется. Продажа права аренды такого объекта занимает около трех месяцев. Срок предполагаемого возврата капитала 10 лет. Определить значение коэффициента капитализации методом суммирования.</w:t>
      </w:r>
    </w:p>
    <w:p>
      <w:pPr>
        <w:spacing w:after="0" w:line="274" w:lineRule="exact"/>
        <w:rPr>
          <w:sz w:val="20"/>
          <w:szCs w:val="20"/>
          <w:color w:val="auto"/>
        </w:rPr>
      </w:pPr>
    </w:p>
    <w:p>
      <w:pPr>
        <w:ind w:left="980"/>
        <w:spacing w:after="0"/>
        <w:rPr>
          <w:sz w:val="20"/>
          <w:szCs w:val="20"/>
          <w:color w:val="auto"/>
        </w:rPr>
      </w:pPr>
      <w:r>
        <w:rPr>
          <w:rFonts w:ascii="Times New Roman" w:cs="Times New Roman" w:eastAsia="Times New Roman" w:hAnsi="Times New Roman"/>
          <w:sz w:val="28"/>
          <w:szCs w:val="28"/>
          <w:u w:val="single" w:color="auto"/>
          <w:color w:val="auto"/>
        </w:rPr>
        <w:t>Решение.</w:t>
      </w:r>
    </w:p>
    <w:p>
      <w:pPr>
        <w:jc w:val="both"/>
        <w:ind w:left="260" w:firstLine="720"/>
        <w:spacing w:after="0"/>
        <w:rPr>
          <w:sz w:val="20"/>
          <w:szCs w:val="20"/>
          <w:color w:val="auto"/>
        </w:rPr>
      </w:pPr>
      <w:r>
        <w:rPr>
          <w:rFonts w:ascii="Times New Roman" w:cs="Times New Roman" w:eastAsia="Times New Roman" w:hAnsi="Times New Roman"/>
          <w:sz w:val="28"/>
          <w:szCs w:val="28"/>
          <w:color w:val="auto"/>
        </w:rPr>
        <w:t>Необходимо рассчитать все «составляющие». Норма возврата капитала составляет 10%, так как предполагается полный возврат капитала по истечении 10 лет (100% / 10). Безрисковая ставка равна 8,4%. Компенсация за риск 5%. Компенсация за управление инвестициями отсутствует. Компенсацию за низкую ликвидность можно оценить в 2,1%, вследствие того, что время продажи в среднем составляет 1/4 года (3 месяца), а годовая безрисковая ставка 8,4%. (8,4 / 4 = 2,1).</w:t>
      </w:r>
    </w:p>
    <w:p>
      <w:pPr>
        <w:spacing w:after="0" w:line="1" w:lineRule="exact"/>
        <w:rPr>
          <w:sz w:val="20"/>
          <w:szCs w:val="20"/>
          <w:color w:val="auto"/>
        </w:rPr>
      </w:pPr>
    </w:p>
    <w:p>
      <w:pPr>
        <w:jc w:val="both"/>
        <w:ind w:left="260" w:firstLine="720"/>
        <w:spacing w:after="0" w:line="270" w:lineRule="auto"/>
        <w:rPr>
          <w:sz w:val="20"/>
          <w:szCs w:val="20"/>
          <w:color w:val="auto"/>
        </w:rPr>
      </w:pPr>
      <w:r>
        <w:rPr>
          <w:rFonts w:ascii="Times New Roman" w:cs="Times New Roman" w:eastAsia="Times New Roman" w:hAnsi="Times New Roman"/>
          <w:sz w:val="28"/>
          <w:szCs w:val="28"/>
          <w:color w:val="auto"/>
        </w:rPr>
        <w:t>Тем самым суммарное значение коэффициента капитализации можно оценить в 0,1 + 0,084 + 0,03 + 0,02 + 0,021 = 0,255.</w:t>
      </w:r>
    </w:p>
    <w:p>
      <w:pPr>
        <w:spacing w:after="0" w:line="240" w:lineRule="exact"/>
        <w:rPr>
          <w:sz w:val="20"/>
          <w:szCs w:val="20"/>
          <w:color w:val="auto"/>
        </w:rPr>
      </w:pPr>
    </w:p>
    <w:p>
      <w:pPr>
        <w:ind w:left="1840"/>
        <w:spacing w:after="0"/>
        <w:rPr>
          <w:sz w:val="20"/>
          <w:szCs w:val="20"/>
          <w:color w:val="auto"/>
        </w:rPr>
      </w:pPr>
      <w:r>
        <w:rPr>
          <w:rFonts w:ascii="Times New Roman" w:cs="Times New Roman" w:eastAsia="Times New Roman" w:hAnsi="Times New Roman"/>
          <w:sz w:val="28"/>
          <w:szCs w:val="28"/>
          <w:color w:val="auto"/>
        </w:rPr>
        <w:t>ЗАДАЧИ ДЛЯ САМОСТОЯТЕЛЬНОГО РЕШЕНИЯ</w:t>
      </w:r>
    </w:p>
    <w:p>
      <w:pPr>
        <w:spacing w:after="0" w:line="322" w:lineRule="exact"/>
        <w:rPr>
          <w:sz w:val="20"/>
          <w:szCs w:val="20"/>
          <w:color w:val="auto"/>
        </w:rPr>
      </w:pPr>
    </w:p>
    <w:p>
      <w:pPr>
        <w:jc w:val="both"/>
        <w:ind w:left="260" w:firstLine="722"/>
        <w:spacing w:after="0" w:line="247" w:lineRule="auto"/>
        <w:tabs>
          <w:tab w:leader="none" w:pos="1331" w:val="left"/>
        </w:tabs>
        <w:numPr>
          <w:ilvl w:val="0"/>
          <w:numId w:val="7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Объект в течение 3 лет обеспечит в конце года поток арендных платежей по 280 тыс. руб. После получения последней арендной платы он будет продан за 11500 тыс. руб. Расходы по продаже составят 500 тыс. руб. Рассчитайте совокупную текущую стоимость предстоящих поступлений денежных средств, если вероятность получения запланированной суммы</w:t>
      </w:r>
    </w:p>
    <w:p>
      <w:pPr>
        <w:sectPr>
          <w:pgSz w:w="11900" w:h="16840" w:orient="portrait"/>
          <w:cols w:equalWidth="0" w:num="1">
            <w:col w:w="9620"/>
          </w:cols>
          <w:pgMar w:left="1440" w:top="1112" w:right="844" w:bottom="163" w:gutter="0" w:footer="0" w:header="0"/>
        </w:sectPr>
      </w:pPr>
    </w:p>
    <w:p>
      <w:pPr>
        <w:spacing w:after="0" w:line="200" w:lineRule="exact"/>
        <w:rPr>
          <w:sz w:val="20"/>
          <w:szCs w:val="20"/>
          <w:color w:val="auto"/>
        </w:rPr>
      </w:pPr>
    </w:p>
    <w:p>
      <w:pPr>
        <w:spacing w:after="0" w:line="310" w:lineRule="exact"/>
        <w:rPr>
          <w:sz w:val="20"/>
          <w:szCs w:val="20"/>
          <w:color w:val="auto"/>
        </w:rPr>
      </w:pPr>
    </w:p>
    <w:p>
      <w:pPr>
        <w:ind w:left="9380"/>
        <w:spacing w:after="0"/>
        <w:rPr>
          <w:sz w:val="20"/>
          <w:szCs w:val="20"/>
          <w:color w:val="auto"/>
        </w:rPr>
      </w:pPr>
      <w:r>
        <w:rPr>
          <w:rFonts w:ascii="Times New Roman" w:cs="Times New Roman" w:eastAsia="Times New Roman" w:hAnsi="Times New Roman"/>
          <w:sz w:val="24"/>
          <w:szCs w:val="24"/>
          <w:color w:val="auto"/>
        </w:rPr>
        <w:t>28</w:t>
      </w:r>
    </w:p>
    <w:p>
      <w:pPr>
        <w:sectPr>
          <w:pgSz w:w="11900" w:h="16840" w:orient="portrait"/>
          <w:cols w:equalWidth="0" w:num="1">
            <w:col w:w="9620"/>
          </w:cols>
          <w:pgMar w:left="1440" w:top="1112" w:right="844" w:bottom="163" w:gutter="0" w:footer="0" w:header="0"/>
          <w:type w:val="continuous"/>
        </w:sectPr>
      </w:pPr>
    </w:p>
    <w:p>
      <w:pPr>
        <w:ind w:left="260"/>
        <w:spacing w:after="0" w:line="270" w:lineRule="auto"/>
        <w:rPr>
          <w:sz w:val="20"/>
          <w:szCs w:val="20"/>
          <w:color w:val="auto"/>
        </w:rPr>
      </w:pPr>
      <w:r>
        <w:rPr>
          <w:rFonts w:ascii="Times New Roman" w:cs="Times New Roman" w:eastAsia="Times New Roman" w:hAnsi="Times New Roman"/>
          <w:sz w:val="28"/>
          <w:szCs w:val="28"/>
          <w:color w:val="auto"/>
        </w:rPr>
        <w:t>аренды и продажи требует применения ставок дисконта в 10% и 20% соответственно.</w:t>
      </w:r>
    </w:p>
    <w:p>
      <w:pPr>
        <w:spacing w:after="0" w:line="242" w:lineRule="exact"/>
        <w:rPr>
          <w:sz w:val="20"/>
          <w:szCs w:val="20"/>
          <w:color w:val="auto"/>
        </w:rPr>
      </w:pPr>
    </w:p>
    <w:p>
      <w:pPr>
        <w:jc w:val="both"/>
        <w:ind w:left="260" w:firstLine="722"/>
        <w:spacing w:after="0"/>
        <w:tabs>
          <w:tab w:leader="none" w:pos="1465" w:val="left"/>
        </w:tabs>
        <w:numPr>
          <w:ilvl w:val="0"/>
          <w:numId w:val="7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 использованием коэффициента капитализации необходимо оценить четырехзвездочную гостиницу в центральной части города,</w:t>
      </w:r>
    </w:p>
    <w:p>
      <w:pPr>
        <w:ind w:left="260"/>
        <w:spacing w:after="0"/>
        <w:rPr>
          <w:sz w:val="20"/>
          <w:szCs w:val="20"/>
          <w:color w:val="auto"/>
        </w:rPr>
      </w:pPr>
      <w:r>
        <w:rPr>
          <w:rFonts w:ascii="Times New Roman" w:cs="Times New Roman" w:eastAsia="Times New Roman" w:hAnsi="Times New Roman"/>
          <w:sz w:val="28"/>
          <w:szCs w:val="28"/>
          <w:color w:val="auto"/>
        </w:rPr>
        <w:t>эксплуатация  которой  приносит  годовой  чистый  операционный  доход</w:t>
      </w:r>
    </w:p>
    <w:p>
      <w:pPr>
        <w:jc w:val="both"/>
        <w:ind w:left="260"/>
        <w:spacing w:after="0"/>
        <w:rPr>
          <w:sz w:val="20"/>
          <w:szCs w:val="20"/>
          <w:color w:val="auto"/>
        </w:rPr>
      </w:pPr>
      <w:r>
        <w:rPr>
          <w:rFonts w:ascii="Times New Roman" w:cs="Times New Roman" w:eastAsia="Times New Roman" w:hAnsi="Times New Roman"/>
          <w:sz w:val="28"/>
          <w:szCs w:val="28"/>
          <w:color w:val="auto"/>
        </w:rPr>
        <w:t>1 300 000 руб. Имеется информация о недавних продажах аналогичных гостиниц: гостиница 1 была продана за 8 400 000 руб., ее использование приносит ЧОД в 1000 000 руб.; гостиница 2 была продана за 8 000 000 руб.,</w:t>
      </w:r>
    </w:p>
    <w:p>
      <w:pPr>
        <w:ind w:left="260" w:firstLine="2"/>
        <w:spacing w:after="0" w:line="270" w:lineRule="auto"/>
        <w:tabs>
          <w:tab w:leader="none" w:pos="596" w:val="left"/>
        </w:tabs>
        <w:numPr>
          <w:ilvl w:val="0"/>
          <w:numId w:val="7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использование приносит ЧОД в 1 200 000 руб.; гостиница 3 была продана за 11 550 000 руб., ее использование приносит ЧОД в 1 500 000 руб.</w:t>
      </w:r>
    </w:p>
    <w:p>
      <w:pPr>
        <w:spacing w:after="0" w:line="241" w:lineRule="exact"/>
        <w:rPr>
          <w:rFonts w:ascii="Times New Roman" w:cs="Times New Roman" w:eastAsia="Times New Roman" w:hAnsi="Times New Roman"/>
          <w:sz w:val="28"/>
          <w:szCs w:val="28"/>
          <w:color w:val="auto"/>
        </w:rPr>
      </w:pPr>
    </w:p>
    <w:p>
      <w:pPr>
        <w:jc w:val="both"/>
        <w:ind w:left="260" w:firstLine="722"/>
        <w:spacing w:after="0" w:line="245" w:lineRule="auto"/>
        <w:tabs>
          <w:tab w:leader="none" w:pos="1444" w:val="left"/>
        </w:tabs>
        <w:numPr>
          <w:ilvl w:val="1"/>
          <w:numId w:val="7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Объектом оценки является право аренды офисного центра. Предположим, ставка по государственным обязательствам составляет 7,4%. Оценщик считает, риск может быть оценен в 6%, а привлечение дополнительных ресурсов не потребуется. Продажа права аренды такого объекта занимает около трех месяцев. Срок предполагаемого возврата капитала 20 лет. Определить значение коэффициента капитализации методом суммирования.</w:t>
      </w:r>
    </w:p>
    <w:p>
      <w:pPr>
        <w:spacing w:after="0" w:line="274" w:lineRule="exact"/>
        <w:rPr>
          <w:rFonts w:ascii="Times New Roman" w:cs="Times New Roman" w:eastAsia="Times New Roman" w:hAnsi="Times New Roman"/>
          <w:sz w:val="28"/>
          <w:szCs w:val="28"/>
          <w:color w:val="auto"/>
        </w:rPr>
      </w:pPr>
    </w:p>
    <w:p>
      <w:pPr>
        <w:jc w:val="both"/>
        <w:ind w:left="260" w:firstLine="722"/>
        <w:spacing w:after="0" w:line="247" w:lineRule="auto"/>
        <w:tabs>
          <w:tab w:leader="none" w:pos="1358" w:val="left"/>
        </w:tabs>
        <w:numPr>
          <w:ilvl w:val="1"/>
          <w:numId w:val="7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Ожидается, что объект недвижимости принесет ЧОД в размере 120 000 руб. за первый год, после чего ЧОД будет возрастать на 5% ежегодно вплоть до момента продажи объекта на рынке за 1500 000 руб. по завершению пятого года. Какова стоимость объекта при условии 12% ставки дисконтирования?</w:t>
      </w:r>
    </w:p>
    <w:p>
      <w:pPr>
        <w:spacing w:after="0" w:line="275" w:lineRule="exact"/>
        <w:rPr>
          <w:rFonts w:ascii="Times New Roman" w:cs="Times New Roman" w:eastAsia="Times New Roman" w:hAnsi="Times New Roman"/>
          <w:sz w:val="28"/>
          <w:szCs w:val="28"/>
          <w:color w:val="auto"/>
        </w:rPr>
      </w:pPr>
    </w:p>
    <w:p>
      <w:pPr>
        <w:jc w:val="both"/>
        <w:ind w:left="260" w:firstLine="722"/>
        <w:spacing w:after="0" w:line="220" w:lineRule="auto"/>
        <w:tabs>
          <w:tab w:leader="none" w:pos="1318" w:val="left"/>
        </w:tabs>
        <w:numPr>
          <w:ilvl w:val="1"/>
          <w:numId w:val="7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Площадь здания, предназначенная для сдачи в аренду, составляет 10 000 кв.м., из них 500 м</w:t>
      </w:r>
      <w:r>
        <w:rPr>
          <w:rFonts w:ascii="Times New Roman" w:cs="Times New Roman" w:eastAsia="Times New Roman" w:hAnsi="Times New Roman"/>
          <w:sz w:val="36"/>
          <w:szCs w:val="36"/>
          <w:color w:val="auto"/>
          <w:vertAlign w:val="superscript"/>
        </w:rPr>
        <w:t>2</w:t>
      </w:r>
      <w:r>
        <w:rPr>
          <w:rFonts w:ascii="Times New Roman" w:cs="Times New Roman" w:eastAsia="Times New Roman" w:hAnsi="Times New Roman"/>
          <w:sz w:val="28"/>
          <w:szCs w:val="28"/>
          <w:color w:val="auto"/>
        </w:rPr>
        <w:t xml:space="preserve"> не занято, остальная площадь сдана по средней для данной категории ставке - 12 руб. за м</w:t>
      </w:r>
      <w:r>
        <w:rPr>
          <w:rFonts w:ascii="Times New Roman" w:cs="Times New Roman" w:eastAsia="Times New Roman" w:hAnsi="Times New Roman"/>
          <w:sz w:val="36"/>
          <w:szCs w:val="36"/>
          <w:color w:val="auto"/>
          <w:vertAlign w:val="superscript"/>
        </w:rPr>
        <w:t>2</w:t>
      </w:r>
      <w:r>
        <w:rPr>
          <w:rFonts w:ascii="Times New Roman" w:cs="Times New Roman" w:eastAsia="Times New Roman" w:hAnsi="Times New Roman"/>
          <w:sz w:val="28"/>
          <w:szCs w:val="28"/>
          <w:color w:val="auto"/>
        </w:rPr>
        <w:t>, операционные расходы составляют 35% потенциального валового дохода. Определить величину чистого операционного дохода.</w:t>
      </w:r>
    </w:p>
    <w:p>
      <w:pPr>
        <w:spacing w:after="0" w:line="287" w:lineRule="exact"/>
        <w:rPr>
          <w:rFonts w:ascii="Times New Roman" w:cs="Times New Roman" w:eastAsia="Times New Roman" w:hAnsi="Times New Roman"/>
          <w:sz w:val="28"/>
          <w:szCs w:val="28"/>
          <w:color w:val="auto"/>
        </w:rPr>
      </w:pPr>
    </w:p>
    <w:p>
      <w:pPr>
        <w:jc w:val="both"/>
        <w:ind w:left="260" w:firstLine="722"/>
        <w:spacing w:after="0" w:line="250" w:lineRule="auto"/>
        <w:tabs>
          <w:tab w:leader="none" w:pos="1279" w:val="left"/>
        </w:tabs>
        <w:numPr>
          <w:ilvl w:val="1"/>
          <w:numId w:val="7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Определить общую стоимость оцениваемого по затратному подходу объекта, если стоимость участка земли составляет 28 000 руб., полная стоимость воспроизводства здания равна 90 000 руб., а общий износ здания оценивается в 20%.</w:t>
      </w:r>
    </w:p>
    <w:p>
      <w:pPr>
        <w:spacing w:after="0" w:line="237" w:lineRule="exact"/>
        <w:rPr>
          <w:rFonts w:ascii="Times New Roman" w:cs="Times New Roman" w:eastAsia="Times New Roman" w:hAnsi="Times New Roman"/>
          <w:sz w:val="28"/>
          <w:szCs w:val="28"/>
          <w:color w:val="auto"/>
        </w:rPr>
      </w:pPr>
    </w:p>
    <w:p>
      <w:pPr>
        <w:jc w:val="both"/>
        <w:ind w:left="260" w:firstLine="722"/>
        <w:spacing w:after="0" w:line="225" w:lineRule="auto"/>
        <w:tabs>
          <w:tab w:leader="none" w:pos="1336" w:val="left"/>
        </w:tabs>
        <w:numPr>
          <w:ilvl w:val="1"/>
          <w:numId w:val="7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Склад площадью 18 000 м</w:t>
      </w:r>
      <w:r>
        <w:rPr>
          <w:rFonts w:ascii="Times New Roman" w:cs="Times New Roman" w:eastAsia="Times New Roman" w:hAnsi="Times New Roman"/>
          <w:sz w:val="36"/>
          <w:szCs w:val="36"/>
          <w:color w:val="auto"/>
          <w:vertAlign w:val="superscript"/>
        </w:rPr>
        <w:t>2</w:t>
      </w:r>
      <w:r>
        <w:rPr>
          <w:rFonts w:ascii="Times New Roman" w:cs="Times New Roman" w:eastAsia="Times New Roman" w:hAnsi="Times New Roman"/>
          <w:sz w:val="28"/>
          <w:szCs w:val="28"/>
          <w:color w:val="auto"/>
        </w:rPr>
        <w:t xml:space="preserve"> сдан на условиях чистой аренды из расчета 3 руб. за 1 м</w:t>
      </w:r>
      <w:r>
        <w:rPr>
          <w:rFonts w:ascii="Times New Roman" w:cs="Times New Roman" w:eastAsia="Times New Roman" w:hAnsi="Times New Roman"/>
          <w:sz w:val="36"/>
          <w:szCs w:val="36"/>
          <w:color w:val="auto"/>
          <w:vertAlign w:val="superscript"/>
        </w:rPr>
        <w:t>2</w:t>
      </w:r>
      <w:r>
        <w:rPr>
          <w:rFonts w:ascii="Times New Roman" w:cs="Times New Roman" w:eastAsia="Times New Roman" w:hAnsi="Times New Roman"/>
          <w:sz w:val="28"/>
          <w:szCs w:val="28"/>
          <w:color w:val="auto"/>
        </w:rPr>
        <w:t xml:space="preserve"> в год. Он обременен ипотечным долгом в 110 000 руб., который должен быть погашен ежемесячными платежами в течение 20 лет, при 9% годовых. Определить ежемесячные денежные поступления собственника.</w:t>
      </w:r>
    </w:p>
    <w:p>
      <w:pPr>
        <w:spacing w:after="0" w:line="280" w:lineRule="exact"/>
        <w:rPr>
          <w:rFonts w:ascii="Times New Roman" w:cs="Times New Roman" w:eastAsia="Times New Roman" w:hAnsi="Times New Roman"/>
          <w:sz w:val="28"/>
          <w:szCs w:val="28"/>
          <w:color w:val="auto"/>
        </w:rPr>
      </w:pPr>
    </w:p>
    <w:p>
      <w:pPr>
        <w:ind w:left="260" w:firstLine="722"/>
        <w:spacing w:after="0" w:line="271" w:lineRule="auto"/>
        <w:tabs>
          <w:tab w:leader="none" w:pos="1440" w:val="left"/>
        </w:tabs>
        <w:numPr>
          <w:ilvl w:val="1"/>
          <w:numId w:val="7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Сопоставимый объект был продан за 1 000 000 руб., и от оцениваемого объекта он имеет пять основных отличий:</w:t>
      </w:r>
    </w:p>
    <w:p>
      <w:pPr>
        <w:sectPr>
          <w:pgSz w:w="11900" w:h="16840" w:orient="portrait"/>
          <w:cols w:equalWidth="0" w:num="1">
            <w:col w:w="9620"/>
          </w:cols>
          <w:pgMar w:left="1440" w:top="1112" w:right="844" w:bottom="163" w:gutter="0" w:footer="0" w:header="0"/>
        </w:sectPr>
      </w:pPr>
    </w:p>
    <w:p>
      <w:pPr>
        <w:spacing w:after="0" w:line="153" w:lineRule="exact"/>
        <w:rPr>
          <w:sz w:val="20"/>
          <w:szCs w:val="20"/>
          <w:color w:val="auto"/>
        </w:rPr>
      </w:pPr>
    </w:p>
    <w:p>
      <w:pPr>
        <w:ind w:left="9380"/>
        <w:spacing w:after="0"/>
        <w:rPr>
          <w:sz w:val="20"/>
          <w:szCs w:val="20"/>
          <w:color w:val="auto"/>
        </w:rPr>
      </w:pPr>
      <w:r>
        <w:rPr>
          <w:rFonts w:ascii="Times New Roman" w:cs="Times New Roman" w:eastAsia="Times New Roman" w:hAnsi="Times New Roman"/>
          <w:sz w:val="24"/>
          <w:szCs w:val="24"/>
          <w:color w:val="auto"/>
        </w:rPr>
        <w:t>29</w:t>
      </w:r>
    </w:p>
    <w:p>
      <w:pPr>
        <w:sectPr>
          <w:pgSz w:w="11900" w:h="16840" w:orient="portrait"/>
          <w:cols w:equalWidth="0" w:num="1">
            <w:col w:w="9620"/>
          </w:cols>
          <w:pgMar w:left="1440" w:top="1112" w:right="844" w:bottom="163" w:gutter="0" w:footer="0" w:header="0"/>
          <w:type w:val="continuous"/>
        </w:sectPr>
      </w:pPr>
    </w:p>
    <w:p>
      <w:pPr>
        <w:ind w:left="1280" w:hanging="298"/>
        <w:spacing w:after="0"/>
        <w:tabs>
          <w:tab w:leader="none" w:pos="1280" w:val="left"/>
        </w:tabs>
        <w:numPr>
          <w:ilvl w:val="0"/>
          <w:numId w:val="7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уступает оцениваемому на 5%;</w:t>
      </w:r>
    </w:p>
    <w:p>
      <w:pPr>
        <w:ind w:left="1280" w:hanging="298"/>
        <w:spacing w:after="0"/>
        <w:tabs>
          <w:tab w:leader="none" w:pos="1280" w:val="left"/>
        </w:tabs>
        <w:numPr>
          <w:ilvl w:val="0"/>
          <w:numId w:val="7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лучше оцениваемого на 7%;</w:t>
      </w:r>
    </w:p>
    <w:p>
      <w:pPr>
        <w:ind w:left="1280" w:hanging="298"/>
        <w:spacing w:after="0"/>
        <w:tabs>
          <w:tab w:leader="none" w:pos="1280" w:val="left"/>
        </w:tabs>
        <w:numPr>
          <w:ilvl w:val="0"/>
          <w:numId w:val="7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лучше оцениваемого на 4%;</w:t>
      </w:r>
    </w:p>
    <w:p>
      <w:pPr>
        <w:ind w:left="1280" w:hanging="299"/>
        <w:spacing w:after="0"/>
        <w:tabs>
          <w:tab w:leader="none" w:pos="1280" w:val="left"/>
        </w:tabs>
        <w:numPr>
          <w:ilvl w:val="0"/>
          <w:numId w:val="7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лучше оцениваемого на 2%;</w:t>
      </w:r>
    </w:p>
    <w:p>
      <w:pPr>
        <w:ind w:left="1280" w:hanging="299"/>
        <w:spacing w:after="0"/>
        <w:tabs>
          <w:tab w:leader="none" w:pos="1280" w:val="left"/>
        </w:tabs>
        <w:numPr>
          <w:ilvl w:val="0"/>
          <w:numId w:val="7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уступает оцениваемому на 10%.</w:t>
      </w:r>
    </w:p>
    <w:p>
      <w:pPr>
        <w:spacing w:after="0" w:line="1" w:lineRule="exact"/>
        <w:rPr>
          <w:sz w:val="20"/>
          <w:szCs w:val="20"/>
          <w:color w:val="auto"/>
        </w:rPr>
      </w:pPr>
    </w:p>
    <w:p>
      <w:pPr>
        <w:ind w:left="260" w:firstLine="720"/>
        <w:spacing w:after="0" w:line="270" w:lineRule="auto"/>
        <w:rPr>
          <w:sz w:val="20"/>
          <w:szCs w:val="20"/>
          <w:color w:val="auto"/>
        </w:rPr>
      </w:pPr>
      <w:r>
        <w:rPr>
          <w:rFonts w:ascii="Times New Roman" w:cs="Times New Roman" w:eastAsia="Times New Roman" w:hAnsi="Times New Roman"/>
          <w:sz w:val="28"/>
          <w:szCs w:val="28"/>
          <w:color w:val="auto"/>
        </w:rPr>
        <w:t>Оценить объект, считая, что отличия не имеют взаимного влияния и имеют взаимное влияние.</w:t>
      </w:r>
    </w:p>
    <w:p>
      <w:pPr>
        <w:spacing w:after="0" w:line="240" w:lineRule="exact"/>
        <w:rPr>
          <w:sz w:val="20"/>
          <w:szCs w:val="20"/>
          <w:color w:val="auto"/>
        </w:rPr>
      </w:pPr>
    </w:p>
    <w:p>
      <w:pPr>
        <w:jc w:val="both"/>
        <w:ind w:left="260" w:firstLine="721"/>
        <w:spacing w:after="0" w:line="235" w:lineRule="auto"/>
        <w:tabs>
          <w:tab w:leader="none" w:pos="1347" w:val="left"/>
        </w:tabs>
        <w:numPr>
          <w:ilvl w:val="0"/>
          <w:numId w:val="7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Объект оценки - коттедж. Сопоставимый объект был продан за 1 800 000 руб. Сопоставимый объект имеет на 150 м</w:t>
      </w:r>
      <w:r>
        <w:rPr>
          <w:rFonts w:ascii="Times New Roman" w:cs="Times New Roman" w:eastAsia="Times New Roman" w:hAnsi="Times New Roman"/>
          <w:sz w:val="36"/>
          <w:szCs w:val="36"/>
          <w:color w:val="auto"/>
          <w:vertAlign w:val="superscript"/>
        </w:rPr>
        <w:t>2</w:t>
      </w:r>
      <w:r>
        <w:rPr>
          <w:rFonts w:ascii="Times New Roman" w:cs="Times New Roman" w:eastAsia="Times New Roman" w:hAnsi="Times New Roman"/>
          <w:sz w:val="28"/>
          <w:szCs w:val="28"/>
          <w:color w:val="auto"/>
        </w:rPr>
        <w:t xml:space="preserve"> большую площадь и подземный гараж. Оцениваемый объект не имеет гаража, но имеет больший по площади земельный участок. Из анализа продаж оценщик выяснил, что наличие большего земельного участка дает поправку в 25% к стоимости объекта, наличие гаража - 100 000 руб., а каждый лишний квадратный метр площади соответствует поправке в 6 000 руб. Определить стоимость коттеджа.</w:t>
      </w:r>
    </w:p>
    <w:p>
      <w:pPr>
        <w:spacing w:after="0" w:line="285" w:lineRule="exact"/>
        <w:rPr>
          <w:rFonts w:ascii="Times New Roman" w:cs="Times New Roman" w:eastAsia="Times New Roman" w:hAnsi="Times New Roman"/>
          <w:sz w:val="28"/>
          <w:szCs w:val="28"/>
          <w:color w:val="auto"/>
        </w:rPr>
      </w:pPr>
    </w:p>
    <w:p>
      <w:pPr>
        <w:jc w:val="both"/>
        <w:ind w:left="260" w:firstLine="722"/>
        <w:spacing w:after="0" w:line="247" w:lineRule="auto"/>
        <w:tabs>
          <w:tab w:leader="none" w:pos="1603" w:val="left"/>
        </w:tabs>
        <w:numPr>
          <w:ilvl w:val="0"/>
          <w:numId w:val="7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Односемейный жилой дом, расположенный у оживленной магистрали, сдается в аренду за плату на 50 руб. в месяц меньше, чем похожие дома на более тихих улицах в том же жилом массиве. Месячный валовой рентный множитель в этом массиве составляет 120. Каков размер денежной корректировки на местоположение?</w:t>
      </w:r>
    </w:p>
    <w:p>
      <w:pPr>
        <w:spacing w:after="0" w:line="275" w:lineRule="exact"/>
        <w:rPr>
          <w:rFonts w:ascii="Times New Roman" w:cs="Times New Roman" w:eastAsia="Times New Roman" w:hAnsi="Times New Roman"/>
          <w:sz w:val="28"/>
          <w:szCs w:val="28"/>
          <w:color w:val="auto"/>
        </w:rPr>
      </w:pPr>
    </w:p>
    <w:p>
      <w:pPr>
        <w:ind w:left="1400" w:hanging="418"/>
        <w:spacing w:after="0"/>
        <w:tabs>
          <w:tab w:leader="none" w:pos="1400" w:val="left"/>
        </w:tabs>
        <w:numPr>
          <w:ilvl w:val="0"/>
          <w:numId w:val="7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Объект продажи — дом. Имеется 4 сопоставимых объекта.</w:t>
      </w:r>
    </w:p>
    <w:tbl>
      <w:tblPr>
        <w:tblLayout w:type="fixed"/>
        <w:tblInd w:w="1800" w:type="dxa"/>
        <w:tblCellMar>
          <w:top w:w="0" w:type="dxa"/>
          <w:left w:w="0" w:type="dxa"/>
          <w:bottom w:w="0" w:type="dxa"/>
          <w:right w:w="0" w:type="dxa"/>
        </w:tblCellMar>
      </w:tblPr>
      <w:tr>
        <w:trPr>
          <w:trHeight w:val="334"/>
        </w:trPr>
        <w:tc>
          <w:tcPr>
            <w:tcW w:w="2060" w:type="dxa"/>
            <w:vAlign w:val="bottom"/>
            <w:tcBorders>
              <w:top w:val="single" w:sz="8" w:color="auto"/>
              <w:bottom w:val="single" w:sz="8" w:color="auto"/>
            </w:tcBorders>
          </w:tcPr>
          <w:p>
            <w:pPr>
              <w:ind w:left="40"/>
              <w:spacing w:after="0"/>
              <w:rPr>
                <w:sz w:val="20"/>
                <w:szCs w:val="20"/>
                <w:color w:val="auto"/>
              </w:rPr>
            </w:pPr>
            <w:r>
              <w:rPr>
                <w:rFonts w:ascii="Times New Roman" w:cs="Times New Roman" w:eastAsia="Times New Roman" w:hAnsi="Times New Roman"/>
                <w:sz w:val="28"/>
                <w:szCs w:val="28"/>
                <w:color w:val="auto"/>
              </w:rPr>
              <w:t>Объект</w:t>
            </w:r>
          </w:p>
        </w:tc>
        <w:tc>
          <w:tcPr>
            <w:tcW w:w="1220" w:type="dxa"/>
            <w:vAlign w:val="bottom"/>
            <w:tcBorders>
              <w:top w:val="single" w:sz="8" w:color="auto"/>
              <w:bottom w:val="single" w:sz="8" w:color="auto"/>
            </w:tcBorders>
          </w:tcPr>
          <w:p>
            <w:pPr>
              <w:jc w:val="center"/>
              <w:spacing w:after="0"/>
              <w:rPr>
                <w:sz w:val="20"/>
                <w:szCs w:val="20"/>
                <w:color w:val="auto"/>
              </w:rPr>
            </w:pPr>
            <w:r>
              <w:rPr>
                <w:rFonts w:ascii="Times New Roman" w:cs="Times New Roman" w:eastAsia="Times New Roman" w:hAnsi="Times New Roman"/>
                <w:sz w:val="28"/>
                <w:szCs w:val="28"/>
                <w:color w:val="auto"/>
                <w:w w:val="99"/>
              </w:rPr>
              <w:t>1</w:t>
            </w:r>
          </w:p>
        </w:tc>
        <w:tc>
          <w:tcPr>
            <w:tcW w:w="1080" w:type="dxa"/>
            <w:vAlign w:val="bottom"/>
            <w:tcBorders>
              <w:top w:val="single" w:sz="8" w:color="auto"/>
              <w:bottom w:val="single" w:sz="8" w:color="auto"/>
            </w:tcBorders>
          </w:tcPr>
          <w:p>
            <w:pPr>
              <w:jc w:val="center"/>
              <w:spacing w:after="0"/>
              <w:rPr>
                <w:sz w:val="20"/>
                <w:szCs w:val="20"/>
                <w:color w:val="auto"/>
              </w:rPr>
            </w:pPr>
            <w:r>
              <w:rPr>
                <w:rFonts w:ascii="Times New Roman" w:cs="Times New Roman" w:eastAsia="Times New Roman" w:hAnsi="Times New Roman"/>
                <w:sz w:val="28"/>
                <w:szCs w:val="28"/>
                <w:color w:val="auto"/>
                <w:w w:val="99"/>
              </w:rPr>
              <w:t>2</w:t>
            </w:r>
          </w:p>
        </w:tc>
        <w:tc>
          <w:tcPr>
            <w:tcW w:w="1000" w:type="dxa"/>
            <w:vAlign w:val="bottom"/>
            <w:tcBorders>
              <w:top w:val="single" w:sz="8" w:color="auto"/>
              <w:bottom w:val="single" w:sz="8" w:color="auto"/>
            </w:tcBorders>
          </w:tcPr>
          <w:p>
            <w:pPr>
              <w:jc w:val="center"/>
              <w:spacing w:after="0"/>
              <w:rPr>
                <w:sz w:val="20"/>
                <w:szCs w:val="20"/>
                <w:color w:val="auto"/>
              </w:rPr>
            </w:pPr>
            <w:r>
              <w:rPr>
                <w:rFonts w:ascii="Times New Roman" w:cs="Times New Roman" w:eastAsia="Times New Roman" w:hAnsi="Times New Roman"/>
                <w:sz w:val="28"/>
                <w:szCs w:val="28"/>
                <w:color w:val="auto"/>
                <w:w w:val="99"/>
              </w:rPr>
              <w:t>3</w:t>
            </w:r>
          </w:p>
        </w:tc>
        <w:tc>
          <w:tcPr>
            <w:tcW w:w="920" w:type="dxa"/>
            <w:vAlign w:val="bottom"/>
            <w:tcBorders>
              <w:top w:val="single" w:sz="8" w:color="auto"/>
              <w:bottom w:val="single" w:sz="8" w:color="auto"/>
            </w:tcBorders>
          </w:tcPr>
          <w:p>
            <w:pPr>
              <w:jc w:val="center"/>
              <w:spacing w:after="0"/>
              <w:rPr>
                <w:sz w:val="20"/>
                <w:szCs w:val="20"/>
                <w:color w:val="auto"/>
              </w:rPr>
            </w:pPr>
            <w:r>
              <w:rPr>
                <w:rFonts w:ascii="Times New Roman" w:cs="Times New Roman" w:eastAsia="Times New Roman" w:hAnsi="Times New Roman"/>
                <w:sz w:val="28"/>
                <w:szCs w:val="28"/>
                <w:color w:val="auto"/>
                <w:w w:val="99"/>
              </w:rPr>
              <w:t>4</w:t>
            </w:r>
          </w:p>
        </w:tc>
      </w:tr>
      <w:tr>
        <w:trPr>
          <w:trHeight w:val="312"/>
        </w:trPr>
        <w:tc>
          <w:tcPr>
            <w:tcW w:w="2060" w:type="dxa"/>
            <w:vAlign w:val="bottom"/>
            <w:tcBorders>
              <w:bottom w:val="single" w:sz="8" w:color="auto"/>
            </w:tcBorders>
          </w:tcPr>
          <w:p>
            <w:pPr>
              <w:ind w:left="40"/>
              <w:spacing w:after="0" w:line="313" w:lineRule="exact"/>
              <w:rPr>
                <w:sz w:val="20"/>
                <w:szCs w:val="20"/>
                <w:color w:val="auto"/>
              </w:rPr>
            </w:pPr>
            <w:r>
              <w:rPr>
                <w:rFonts w:ascii="Times New Roman" w:cs="Times New Roman" w:eastAsia="Times New Roman" w:hAnsi="Times New Roman"/>
                <w:sz w:val="28"/>
                <w:szCs w:val="28"/>
                <w:color w:val="auto"/>
              </w:rPr>
              <w:t>Площадь, м</w:t>
            </w:r>
            <w:r>
              <w:rPr>
                <w:rFonts w:ascii="Times New Roman" w:cs="Times New Roman" w:eastAsia="Times New Roman" w:hAnsi="Times New Roman"/>
                <w:sz w:val="36"/>
                <w:szCs w:val="36"/>
                <w:color w:val="auto"/>
                <w:vertAlign w:val="superscript"/>
              </w:rPr>
              <w:t>2</w:t>
            </w:r>
          </w:p>
        </w:tc>
        <w:tc>
          <w:tcPr>
            <w:tcW w:w="1220" w:type="dxa"/>
            <w:vAlign w:val="bottom"/>
            <w:tcBorders>
              <w:bottom w:val="single" w:sz="8" w:color="auto"/>
            </w:tcBorders>
          </w:tcPr>
          <w:p>
            <w:pPr>
              <w:jc w:val="center"/>
              <w:spacing w:after="0" w:line="312" w:lineRule="exact"/>
              <w:rPr>
                <w:sz w:val="20"/>
                <w:szCs w:val="20"/>
                <w:color w:val="auto"/>
              </w:rPr>
            </w:pPr>
            <w:r>
              <w:rPr>
                <w:rFonts w:ascii="Times New Roman" w:cs="Times New Roman" w:eastAsia="Times New Roman" w:hAnsi="Times New Roman"/>
                <w:sz w:val="28"/>
                <w:szCs w:val="28"/>
                <w:color w:val="auto"/>
                <w:w w:val="99"/>
              </w:rPr>
              <w:t>270</w:t>
            </w:r>
          </w:p>
        </w:tc>
        <w:tc>
          <w:tcPr>
            <w:tcW w:w="1080" w:type="dxa"/>
            <w:vAlign w:val="bottom"/>
            <w:tcBorders>
              <w:bottom w:val="single" w:sz="8" w:color="auto"/>
            </w:tcBorders>
          </w:tcPr>
          <w:p>
            <w:pPr>
              <w:jc w:val="center"/>
              <w:spacing w:after="0" w:line="312" w:lineRule="exact"/>
              <w:rPr>
                <w:sz w:val="20"/>
                <w:szCs w:val="20"/>
                <w:color w:val="auto"/>
              </w:rPr>
            </w:pPr>
            <w:r>
              <w:rPr>
                <w:rFonts w:ascii="Times New Roman" w:cs="Times New Roman" w:eastAsia="Times New Roman" w:hAnsi="Times New Roman"/>
                <w:sz w:val="28"/>
                <w:szCs w:val="28"/>
                <w:color w:val="auto"/>
                <w:w w:val="99"/>
              </w:rPr>
              <w:t>270</w:t>
            </w:r>
          </w:p>
        </w:tc>
        <w:tc>
          <w:tcPr>
            <w:tcW w:w="1000" w:type="dxa"/>
            <w:vAlign w:val="bottom"/>
            <w:tcBorders>
              <w:bottom w:val="single" w:sz="8" w:color="auto"/>
            </w:tcBorders>
          </w:tcPr>
          <w:p>
            <w:pPr>
              <w:jc w:val="center"/>
              <w:spacing w:after="0" w:line="312" w:lineRule="exact"/>
              <w:rPr>
                <w:sz w:val="20"/>
                <w:szCs w:val="20"/>
                <w:color w:val="auto"/>
              </w:rPr>
            </w:pPr>
            <w:r>
              <w:rPr>
                <w:rFonts w:ascii="Times New Roman" w:cs="Times New Roman" w:eastAsia="Times New Roman" w:hAnsi="Times New Roman"/>
                <w:sz w:val="28"/>
                <w:szCs w:val="28"/>
                <w:color w:val="auto"/>
                <w:w w:val="99"/>
              </w:rPr>
              <w:t>295</w:t>
            </w:r>
          </w:p>
        </w:tc>
        <w:tc>
          <w:tcPr>
            <w:tcW w:w="920" w:type="dxa"/>
            <w:vAlign w:val="bottom"/>
            <w:tcBorders>
              <w:bottom w:val="single" w:sz="8" w:color="auto"/>
            </w:tcBorders>
          </w:tcPr>
          <w:p>
            <w:pPr>
              <w:jc w:val="center"/>
              <w:spacing w:after="0" w:line="312" w:lineRule="exact"/>
              <w:rPr>
                <w:sz w:val="20"/>
                <w:szCs w:val="20"/>
                <w:color w:val="auto"/>
              </w:rPr>
            </w:pPr>
            <w:r>
              <w:rPr>
                <w:rFonts w:ascii="Times New Roman" w:cs="Times New Roman" w:eastAsia="Times New Roman" w:hAnsi="Times New Roman"/>
                <w:sz w:val="28"/>
                <w:szCs w:val="28"/>
                <w:color w:val="auto"/>
                <w:w w:val="99"/>
              </w:rPr>
              <w:t>295</w:t>
            </w:r>
          </w:p>
        </w:tc>
      </w:tr>
      <w:tr>
        <w:trPr>
          <w:trHeight w:val="290"/>
        </w:trPr>
        <w:tc>
          <w:tcPr>
            <w:tcW w:w="2060" w:type="dxa"/>
            <w:vAlign w:val="bottom"/>
          </w:tcPr>
          <w:p>
            <w:pPr>
              <w:ind w:left="40"/>
              <w:spacing w:after="0" w:line="289" w:lineRule="exact"/>
              <w:rPr>
                <w:sz w:val="20"/>
                <w:szCs w:val="20"/>
                <w:color w:val="auto"/>
              </w:rPr>
            </w:pPr>
            <w:r>
              <w:rPr>
                <w:rFonts w:ascii="Times New Roman" w:cs="Times New Roman" w:eastAsia="Times New Roman" w:hAnsi="Times New Roman"/>
                <w:sz w:val="28"/>
                <w:szCs w:val="28"/>
                <w:color w:val="auto"/>
              </w:rPr>
              <w:t>Спальных</w:t>
            </w:r>
          </w:p>
        </w:tc>
        <w:tc>
          <w:tcPr>
            <w:tcW w:w="1220" w:type="dxa"/>
            <w:vAlign w:val="bottom"/>
          </w:tcPr>
          <w:p>
            <w:pPr>
              <w:jc w:val="center"/>
              <w:spacing w:after="0" w:line="289" w:lineRule="exact"/>
              <w:rPr>
                <w:sz w:val="20"/>
                <w:szCs w:val="20"/>
                <w:color w:val="auto"/>
              </w:rPr>
            </w:pPr>
            <w:r>
              <w:rPr>
                <w:rFonts w:ascii="Times New Roman" w:cs="Times New Roman" w:eastAsia="Times New Roman" w:hAnsi="Times New Roman"/>
                <w:sz w:val="28"/>
                <w:szCs w:val="28"/>
                <w:color w:val="auto"/>
                <w:w w:val="99"/>
              </w:rPr>
              <w:t>2</w:t>
            </w:r>
          </w:p>
        </w:tc>
        <w:tc>
          <w:tcPr>
            <w:tcW w:w="1080" w:type="dxa"/>
            <w:vAlign w:val="bottom"/>
          </w:tcPr>
          <w:p>
            <w:pPr>
              <w:jc w:val="center"/>
              <w:spacing w:after="0" w:line="289" w:lineRule="exact"/>
              <w:rPr>
                <w:sz w:val="20"/>
                <w:szCs w:val="20"/>
                <w:color w:val="auto"/>
              </w:rPr>
            </w:pPr>
            <w:r>
              <w:rPr>
                <w:rFonts w:ascii="Times New Roman" w:cs="Times New Roman" w:eastAsia="Times New Roman" w:hAnsi="Times New Roman"/>
                <w:sz w:val="28"/>
                <w:szCs w:val="28"/>
                <w:color w:val="auto"/>
                <w:w w:val="99"/>
              </w:rPr>
              <w:t>2</w:t>
            </w:r>
          </w:p>
        </w:tc>
        <w:tc>
          <w:tcPr>
            <w:tcW w:w="1000" w:type="dxa"/>
            <w:vAlign w:val="bottom"/>
          </w:tcPr>
          <w:p>
            <w:pPr>
              <w:jc w:val="center"/>
              <w:spacing w:after="0" w:line="289" w:lineRule="exact"/>
              <w:rPr>
                <w:sz w:val="20"/>
                <w:szCs w:val="20"/>
                <w:color w:val="auto"/>
              </w:rPr>
            </w:pPr>
            <w:r>
              <w:rPr>
                <w:rFonts w:ascii="Times New Roman" w:cs="Times New Roman" w:eastAsia="Times New Roman" w:hAnsi="Times New Roman"/>
                <w:sz w:val="28"/>
                <w:szCs w:val="28"/>
                <w:color w:val="auto"/>
                <w:w w:val="99"/>
              </w:rPr>
              <w:t>2</w:t>
            </w:r>
          </w:p>
        </w:tc>
        <w:tc>
          <w:tcPr>
            <w:tcW w:w="920" w:type="dxa"/>
            <w:vAlign w:val="bottom"/>
          </w:tcPr>
          <w:p>
            <w:pPr>
              <w:jc w:val="center"/>
              <w:spacing w:after="0" w:line="289" w:lineRule="exact"/>
              <w:rPr>
                <w:sz w:val="20"/>
                <w:szCs w:val="20"/>
                <w:color w:val="auto"/>
              </w:rPr>
            </w:pPr>
            <w:r>
              <w:rPr>
                <w:rFonts w:ascii="Times New Roman" w:cs="Times New Roman" w:eastAsia="Times New Roman" w:hAnsi="Times New Roman"/>
                <w:sz w:val="28"/>
                <w:szCs w:val="28"/>
                <w:color w:val="auto"/>
                <w:w w:val="99"/>
              </w:rPr>
              <w:t>1</w:t>
            </w:r>
          </w:p>
        </w:tc>
      </w:tr>
      <w:tr>
        <w:trPr>
          <w:trHeight w:val="344"/>
        </w:trPr>
        <w:tc>
          <w:tcPr>
            <w:tcW w:w="2060" w:type="dxa"/>
            <w:vAlign w:val="bottom"/>
            <w:tcBorders>
              <w:bottom w:val="single" w:sz="8" w:color="auto"/>
            </w:tcBorders>
          </w:tcPr>
          <w:p>
            <w:pPr>
              <w:ind w:left="40"/>
              <w:spacing w:after="0"/>
              <w:rPr>
                <w:sz w:val="20"/>
                <w:szCs w:val="20"/>
                <w:color w:val="auto"/>
              </w:rPr>
            </w:pPr>
            <w:r>
              <w:rPr>
                <w:rFonts w:ascii="Times New Roman" w:cs="Times New Roman" w:eastAsia="Times New Roman" w:hAnsi="Times New Roman"/>
                <w:sz w:val="28"/>
                <w:szCs w:val="28"/>
                <w:color w:val="auto"/>
              </w:rPr>
              <w:t>комнат</w:t>
            </w:r>
          </w:p>
        </w:tc>
        <w:tc>
          <w:tcPr>
            <w:tcW w:w="122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r>
      <w:tr>
        <w:trPr>
          <w:trHeight w:val="311"/>
        </w:trPr>
        <w:tc>
          <w:tcPr>
            <w:tcW w:w="2060" w:type="dxa"/>
            <w:vAlign w:val="bottom"/>
            <w:tcBorders>
              <w:bottom w:val="single" w:sz="8" w:color="auto"/>
            </w:tcBorders>
          </w:tcPr>
          <w:p>
            <w:pPr>
              <w:ind w:left="40"/>
              <w:spacing w:after="0" w:line="310" w:lineRule="exact"/>
              <w:rPr>
                <w:sz w:val="20"/>
                <w:szCs w:val="20"/>
                <w:color w:val="auto"/>
              </w:rPr>
            </w:pPr>
            <w:r>
              <w:rPr>
                <w:rFonts w:ascii="Times New Roman" w:cs="Times New Roman" w:eastAsia="Times New Roman" w:hAnsi="Times New Roman"/>
                <w:sz w:val="28"/>
                <w:szCs w:val="28"/>
                <w:color w:val="auto"/>
              </w:rPr>
              <w:t>Балкон</w:t>
            </w:r>
          </w:p>
        </w:tc>
        <w:tc>
          <w:tcPr>
            <w:tcW w:w="1220" w:type="dxa"/>
            <w:vAlign w:val="bottom"/>
            <w:tcBorders>
              <w:bottom w:val="single" w:sz="8" w:color="auto"/>
            </w:tcBorders>
          </w:tcPr>
          <w:p>
            <w:pPr>
              <w:jc w:val="center"/>
              <w:spacing w:after="0" w:line="310" w:lineRule="exact"/>
              <w:rPr>
                <w:sz w:val="20"/>
                <w:szCs w:val="20"/>
                <w:color w:val="auto"/>
              </w:rPr>
            </w:pPr>
            <w:r>
              <w:rPr>
                <w:rFonts w:ascii="Times New Roman" w:cs="Times New Roman" w:eastAsia="Times New Roman" w:hAnsi="Times New Roman"/>
                <w:sz w:val="28"/>
                <w:szCs w:val="28"/>
                <w:color w:val="auto"/>
                <w:w w:val="98"/>
              </w:rPr>
              <w:t>Есть</w:t>
            </w:r>
          </w:p>
        </w:tc>
        <w:tc>
          <w:tcPr>
            <w:tcW w:w="1080" w:type="dxa"/>
            <w:vAlign w:val="bottom"/>
            <w:tcBorders>
              <w:bottom w:val="single" w:sz="8" w:color="auto"/>
            </w:tcBorders>
          </w:tcPr>
          <w:p>
            <w:pPr>
              <w:jc w:val="center"/>
              <w:spacing w:after="0" w:line="310" w:lineRule="exact"/>
              <w:rPr>
                <w:sz w:val="20"/>
                <w:szCs w:val="20"/>
                <w:color w:val="auto"/>
              </w:rPr>
            </w:pPr>
            <w:r>
              <w:rPr>
                <w:rFonts w:ascii="Times New Roman" w:cs="Times New Roman" w:eastAsia="Times New Roman" w:hAnsi="Times New Roman"/>
                <w:sz w:val="28"/>
                <w:szCs w:val="28"/>
                <w:color w:val="auto"/>
                <w:w w:val="97"/>
              </w:rPr>
              <w:t>Нет</w:t>
            </w:r>
          </w:p>
        </w:tc>
        <w:tc>
          <w:tcPr>
            <w:tcW w:w="1000" w:type="dxa"/>
            <w:vAlign w:val="bottom"/>
            <w:tcBorders>
              <w:bottom w:val="single" w:sz="8" w:color="auto"/>
            </w:tcBorders>
          </w:tcPr>
          <w:p>
            <w:pPr>
              <w:jc w:val="center"/>
              <w:spacing w:after="0" w:line="310" w:lineRule="exact"/>
              <w:rPr>
                <w:sz w:val="20"/>
                <w:szCs w:val="20"/>
                <w:color w:val="auto"/>
              </w:rPr>
            </w:pPr>
            <w:r>
              <w:rPr>
                <w:rFonts w:ascii="Times New Roman" w:cs="Times New Roman" w:eastAsia="Times New Roman" w:hAnsi="Times New Roman"/>
                <w:sz w:val="28"/>
                <w:szCs w:val="28"/>
                <w:color w:val="auto"/>
                <w:w w:val="98"/>
              </w:rPr>
              <w:t>Есть</w:t>
            </w:r>
          </w:p>
        </w:tc>
        <w:tc>
          <w:tcPr>
            <w:tcW w:w="920" w:type="dxa"/>
            <w:vAlign w:val="bottom"/>
            <w:tcBorders>
              <w:bottom w:val="single" w:sz="8" w:color="auto"/>
            </w:tcBorders>
          </w:tcPr>
          <w:p>
            <w:pPr>
              <w:jc w:val="center"/>
              <w:spacing w:after="0" w:line="310" w:lineRule="exact"/>
              <w:rPr>
                <w:sz w:val="20"/>
                <w:szCs w:val="20"/>
                <w:color w:val="auto"/>
              </w:rPr>
            </w:pPr>
            <w:r>
              <w:rPr>
                <w:rFonts w:ascii="Times New Roman" w:cs="Times New Roman" w:eastAsia="Times New Roman" w:hAnsi="Times New Roman"/>
                <w:sz w:val="28"/>
                <w:szCs w:val="28"/>
                <w:color w:val="auto"/>
              </w:rPr>
              <w:t>Нет</w:t>
            </w:r>
          </w:p>
        </w:tc>
      </w:tr>
      <w:tr>
        <w:trPr>
          <w:trHeight w:val="300"/>
        </w:trPr>
        <w:tc>
          <w:tcPr>
            <w:tcW w:w="2060" w:type="dxa"/>
            <w:vAlign w:val="bottom"/>
          </w:tcPr>
          <w:p>
            <w:pPr>
              <w:ind w:left="40"/>
              <w:spacing w:after="0" w:line="300" w:lineRule="exact"/>
              <w:rPr>
                <w:sz w:val="20"/>
                <w:szCs w:val="20"/>
                <w:color w:val="auto"/>
              </w:rPr>
            </w:pPr>
            <w:r>
              <w:rPr>
                <w:rFonts w:ascii="Times New Roman" w:cs="Times New Roman" w:eastAsia="Times New Roman" w:hAnsi="Times New Roman"/>
                <w:sz w:val="28"/>
                <w:szCs w:val="28"/>
                <w:color w:val="auto"/>
              </w:rPr>
              <w:t>Цена продажи</w:t>
            </w:r>
          </w:p>
        </w:tc>
        <w:tc>
          <w:tcPr>
            <w:tcW w:w="1220" w:type="dxa"/>
            <w:vAlign w:val="bottom"/>
          </w:tcPr>
          <w:p>
            <w:pPr>
              <w:jc w:val="center"/>
              <w:spacing w:after="0" w:line="300" w:lineRule="exact"/>
              <w:rPr>
                <w:sz w:val="20"/>
                <w:szCs w:val="20"/>
                <w:color w:val="auto"/>
              </w:rPr>
            </w:pPr>
            <w:r>
              <w:rPr>
                <w:rFonts w:ascii="Times New Roman" w:cs="Times New Roman" w:eastAsia="Times New Roman" w:hAnsi="Times New Roman"/>
                <w:sz w:val="28"/>
                <w:szCs w:val="28"/>
                <w:color w:val="auto"/>
                <w:w w:val="99"/>
              </w:rPr>
              <w:t>78000</w:t>
            </w:r>
          </w:p>
        </w:tc>
        <w:tc>
          <w:tcPr>
            <w:tcW w:w="1080" w:type="dxa"/>
            <w:vAlign w:val="bottom"/>
          </w:tcPr>
          <w:p>
            <w:pPr>
              <w:jc w:val="center"/>
              <w:spacing w:after="0" w:line="300" w:lineRule="exact"/>
              <w:rPr>
                <w:sz w:val="20"/>
                <w:szCs w:val="20"/>
                <w:color w:val="auto"/>
              </w:rPr>
            </w:pPr>
            <w:r>
              <w:rPr>
                <w:rFonts w:ascii="Times New Roman" w:cs="Times New Roman" w:eastAsia="Times New Roman" w:hAnsi="Times New Roman"/>
                <w:sz w:val="28"/>
                <w:szCs w:val="28"/>
                <w:color w:val="auto"/>
                <w:w w:val="99"/>
              </w:rPr>
              <w:t>76500</w:t>
            </w:r>
          </w:p>
        </w:tc>
        <w:tc>
          <w:tcPr>
            <w:tcW w:w="1000" w:type="dxa"/>
            <w:vAlign w:val="bottom"/>
          </w:tcPr>
          <w:p>
            <w:pPr>
              <w:jc w:val="center"/>
              <w:spacing w:after="0" w:line="300" w:lineRule="exact"/>
              <w:rPr>
                <w:sz w:val="20"/>
                <w:szCs w:val="20"/>
                <w:color w:val="auto"/>
              </w:rPr>
            </w:pPr>
            <w:r>
              <w:rPr>
                <w:rFonts w:ascii="Times New Roman" w:cs="Times New Roman" w:eastAsia="Times New Roman" w:hAnsi="Times New Roman"/>
                <w:sz w:val="28"/>
                <w:szCs w:val="28"/>
                <w:color w:val="auto"/>
                <w:w w:val="99"/>
              </w:rPr>
              <w:t>83000</w:t>
            </w:r>
          </w:p>
        </w:tc>
        <w:tc>
          <w:tcPr>
            <w:tcW w:w="920" w:type="dxa"/>
            <w:vAlign w:val="bottom"/>
          </w:tcPr>
          <w:p>
            <w:pPr>
              <w:jc w:val="center"/>
              <w:spacing w:after="0" w:line="300" w:lineRule="exact"/>
              <w:rPr>
                <w:sz w:val="20"/>
                <w:szCs w:val="20"/>
                <w:color w:val="auto"/>
              </w:rPr>
            </w:pPr>
            <w:r>
              <w:rPr>
                <w:rFonts w:ascii="Times New Roman" w:cs="Times New Roman" w:eastAsia="Times New Roman" w:hAnsi="Times New Roman"/>
                <w:sz w:val="28"/>
                <w:szCs w:val="28"/>
                <w:color w:val="auto"/>
                <w:w w:val="99"/>
              </w:rPr>
              <w:t>80000</w:t>
            </w: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1148080</wp:posOffset>
                </wp:positionH>
                <wp:positionV relativeFrom="paragraph">
                  <wp:posOffset>-1250950</wp:posOffset>
                </wp:positionV>
                <wp:extent cx="0" cy="1264285"/>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26428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 o:spid="_x0000_s10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90.4pt,-98.4999pt" to="90.4pt,1.0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2519680</wp:posOffset>
                </wp:positionH>
                <wp:positionV relativeFrom="paragraph">
                  <wp:posOffset>-1250950</wp:posOffset>
                </wp:positionV>
                <wp:extent cx="0" cy="1264285"/>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26428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98.4pt,-98.4999pt" to="198.4pt,1.0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3231515</wp:posOffset>
                </wp:positionH>
                <wp:positionV relativeFrom="paragraph">
                  <wp:posOffset>-1250950</wp:posOffset>
                </wp:positionV>
                <wp:extent cx="0" cy="1264285"/>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26428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54.45pt,-98.4999pt" to="254.45pt,1.0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3929380</wp:posOffset>
                </wp:positionH>
                <wp:positionV relativeFrom="paragraph">
                  <wp:posOffset>-1250950</wp:posOffset>
                </wp:positionV>
                <wp:extent cx="0" cy="1264285"/>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26428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9.4pt,-98.4999pt" to="309.4pt,1.0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4565015</wp:posOffset>
                </wp:positionH>
                <wp:positionV relativeFrom="paragraph">
                  <wp:posOffset>-1250950</wp:posOffset>
                </wp:positionV>
                <wp:extent cx="0" cy="1264285"/>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26428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59.45pt,-98.4999pt" to="359.45pt,1.0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5123180</wp:posOffset>
                </wp:positionH>
                <wp:positionV relativeFrom="paragraph">
                  <wp:posOffset>-1250950</wp:posOffset>
                </wp:positionV>
                <wp:extent cx="0" cy="1264285"/>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26428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03.4pt,-98.4999pt" to="403.4pt,1.05pt" o:allowincell="f" strokecolor="#000000" strokeweight="0.48pt"/>
            </w:pict>
          </mc:Fallback>
        </mc:AlternateContent>
      </w:r>
    </w:p>
    <w:p>
      <w:pPr>
        <w:ind w:left="980"/>
        <w:spacing w:after="0"/>
        <w:rPr>
          <w:sz w:val="20"/>
          <w:szCs w:val="20"/>
          <w:color w:val="auto"/>
        </w:rPr>
      </w:pPr>
      <w:r>
        <w:rPr>
          <w:rFonts w:ascii="Times New Roman" w:cs="Times New Roman" w:eastAsia="Times New Roman" w:hAnsi="Times New Roman"/>
          <w:sz w:val="28"/>
          <w:szCs w:val="28"/>
          <w:color w:val="auto"/>
        </w:rPr>
        <w:t>Определить:</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1144905</wp:posOffset>
                </wp:positionH>
                <wp:positionV relativeFrom="paragraph">
                  <wp:posOffset>-193675</wp:posOffset>
                </wp:positionV>
                <wp:extent cx="3981450" cy="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98145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90.15pt,-15.2499pt" to="403.65pt,-15.2499pt" o:allowincell="f" strokecolor="#000000" strokeweight="0.4799pt"/>
            </w:pict>
          </mc:Fallback>
        </mc:AlternateContent>
      </w:r>
    </w:p>
    <w:p>
      <w:pPr>
        <w:ind w:left="1560" w:hanging="299"/>
        <w:spacing w:after="0"/>
        <w:tabs>
          <w:tab w:leader="none" w:pos="1560" w:val="left"/>
        </w:tabs>
        <w:numPr>
          <w:ilvl w:val="1"/>
          <w:numId w:val="7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корректировку на разницу в площади;</w:t>
      </w:r>
    </w:p>
    <w:p>
      <w:pPr>
        <w:ind w:left="1560" w:hanging="299"/>
        <w:spacing w:after="0"/>
        <w:tabs>
          <w:tab w:leader="none" w:pos="1560" w:val="left"/>
        </w:tabs>
        <w:numPr>
          <w:ilvl w:val="1"/>
          <w:numId w:val="7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корректировку на разницу в количестве спален;</w:t>
      </w:r>
    </w:p>
    <w:p>
      <w:pPr>
        <w:ind w:left="1560" w:hanging="299"/>
        <w:spacing w:after="0"/>
        <w:tabs>
          <w:tab w:leader="none" w:pos="1560" w:val="left"/>
        </w:tabs>
        <w:numPr>
          <w:ilvl w:val="1"/>
          <w:numId w:val="7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корректировку на наличие балкона.</w:t>
      </w:r>
    </w:p>
    <w:p>
      <w:pPr>
        <w:spacing w:after="0" w:line="322" w:lineRule="exact"/>
        <w:rPr>
          <w:rFonts w:ascii="Times New Roman" w:cs="Times New Roman" w:eastAsia="Times New Roman" w:hAnsi="Times New Roman"/>
          <w:sz w:val="28"/>
          <w:szCs w:val="28"/>
          <w:color w:val="auto"/>
        </w:rPr>
      </w:pPr>
    </w:p>
    <w:p>
      <w:pPr>
        <w:jc w:val="both"/>
        <w:ind w:left="260" w:firstLine="721"/>
        <w:spacing w:after="0" w:line="250" w:lineRule="auto"/>
        <w:tabs>
          <w:tab w:leader="none" w:pos="1403" w:val="left"/>
        </w:tabs>
        <w:numPr>
          <w:ilvl w:val="0"/>
          <w:numId w:val="8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Здание с участком продано за 80 000 руб. Исходя из анализа продаж земли, участок имеет оценочную стоимость 20 000 руб. Анализ затрат показывает, что полная стоимость воспроизводства здания составляет 75 000 руб. Определить общий накопленный износ здания.</w:t>
      </w:r>
    </w:p>
    <w:p>
      <w:pPr>
        <w:spacing w:after="0" w:line="267" w:lineRule="exact"/>
        <w:rPr>
          <w:rFonts w:ascii="Times New Roman" w:cs="Times New Roman" w:eastAsia="Times New Roman" w:hAnsi="Times New Roman"/>
          <w:sz w:val="28"/>
          <w:szCs w:val="28"/>
          <w:color w:val="auto"/>
        </w:rPr>
      </w:pPr>
    </w:p>
    <w:p>
      <w:pPr>
        <w:jc w:val="both"/>
        <w:ind w:left="260" w:firstLine="721"/>
        <w:spacing w:after="0" w:line="233" w:lineRule="auto"/>
        <w:tabs>
          <w:tab w:leader="none" w:pos="1548" w:val="left"/>
        </w:tabs>
        <w:numPr>
          <w:ilvl w:val="0"/>
          <w:numId w:val="8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Оцените размер корректировки на права собственности при наличии следующих данных. Объект-аналог, приобретенный за 1000 000 руб., обременен договором аренды сроком на 4 года. Ставка аренды 80 руб. за м</w:t>
      </w:r>
      <w:r>
        <w:rPr>
          <w:rFonts w:ascii="Times New Roman" w:cs="Times New Roman" w:eastAsia="Times New Roman" w:hAnsi="Times New Roman"/>
          <w:sz w:val="36"/>
          <w:szCs w:val="36"/>
          <w:color w:val="auto"/>
          <w:vertAlign w:val="superscript"/>
        </w:rPr>
        <w:t>2</w:t>
      </w:r>
      <w:r>
        <w:rPr>
          <w:rFonts w:ascii="Times New Roman" w:cs="Times New Roman" w:eastAsia="Times New Roman" w:hAnsi="Times New Roman"/>
          <w:sz w:val="28"/>
          <w:szCs w:val="28"/>
          <w:color w:val="auto"/>
        </w:rPr>
        <w:t>. Площадь объекта 80 м</w:t>
      </w:r>
      <w:r>
        <w:rPr>
          <w:rFonts w:ascii="Times New Roman" w:cs="Times New Roman" w:eastAsia="Times New Roman" w:hAnsi="Times New Roman"/>
          <w:sz w:val="36"/>
          <w:szCs w:val="36"/>
          <w:color w:val="auto"/>
          <w:vertAlign w:val="superscript"/>
        </w:rPr>
        <w:t>2</w:t>
      </w:r>
      <w:r>
        <w:rPr>
          <w:rFonts w:ascii="Times New Roman" w:cs="Times New Roman" w:eastAsia="Times New Roman" w:hAnsi="Times New Roman"/>
          <w:sz w:val="28"/>
          <w:szCs w:val="28"/>
          <w:color w:val="auto"/>
        </w:rPr>
        <w:t>. Рыночная ставка 110 руб. Норма отдачи на капитал 20% годовых.</w:t>
      </w:r>
    </w:p>
    <w:p>
      <w:pPr>
        <w:sectPr>
          <w:pgSz w:w="11900" w:h="16840" w:orient="portrait"/>
          <w:cols w:equalWidth="0" w:num="1">
            <w:col w:w="9620"/>
          </w:cols>
          <w:pgMar w:left="1440" w:top="1112" w:right="844" w:bottom="163" w:gutter="0" w:footer="0" w:header="0"/>
        </w:sectPr>
      </w:pPr>
    </w:p>
    <w:p>
      <w:pPr>
        <w:spacing w:after="0" w:line="133" w:lineRule="exact"/>
        <w:rPr>
          <w:sz w:val="20"/>
          <w:szCs w:val="20"/>
          <w:color w:val="auto"/>
        </w:rPr>
      </w:pPr>
    </w:p>
    <w:p>
      <w:pPr>
        <w:ind w:left="9380"/>
        <w:spacing w:after="0"/>
        <w:rPr>
          <w:sz w:val="20"/>
          <w:szCs w:val="20"/>
          <w:color w:val="auto"/>
        </w:rPr>
      </w:pPr>
      <w:r>
        <w:rPr>
          <w:rFonts w:ascii="Times New Roman" w:cs="Times New Roman" w:eastAsia="Times New Roman" w:hAnsi="Times New Roman"/>
          <w:sz w:val="24"/>
          <w:szCs w:val="24"/>
          <w:color w:val="auto"/>
        </w:rPr>
        <w:t>30</w:t>
      </w:r>
    </w:p>
    <w:p>
      <w:pPr>
        <w:sectPr>
          <w:pgSz w:w="11900" w:h="16840" w:orient="portrait"/>
          <w:cols w:equalWidth="0" w:num="1">
            <w:col w:w="9620"/>
          </w:cols>
          <w:pgMar w:left="1440" w:top="1112" w:right="844" w:bottom="163" w:gutter="0" w:footer="0" w:header="0"/>
          <w:type w:val="continuous"/>
        </w:sectPr>
      </w:pPr>
    </w:p>
    <w:p>
      <w:pPr>
        <w:ind w:left="260" w:firstLine="722"/>
        <w:spacing w:after="0" w:line="245" w:lineRule="auto"/>
        <w:tabs>
          <w:tab w:leader="none" w:pos="1791" w:val="left"/>
        </w:tabs>
        <w:numPr>
          <w:ilvl w:val="0"/>
          <w:numId w:val="8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Найти величину неустранимого физического износа короткоживущих элементов по следующим данным:</w:t>
      </w:r>
    </w:p>
    <w:tbl>
      <w:tblPr>
        <w:tblLayout w:type="fixed"/>
        <w:tblInd w:w="270" w:type="dxa"/>
        <w:tblCellMar>
          <w:top w:w="0" w:type="dxa"/>
          <w:left w:w="0" w:type="dxa"/>
          <w:bottom w:w="0" w:type="dxa"/>
          <w:right w:w="0" w:type="dxa"/>
        </w:tblCellMar>
      </w:tblPr>
      <w:tr>
        <w:trPr>
          <w:trHeight w:val="303"/>
        </w:trPr>
        <w:tc>
          <w:tcPr>
            <w:tcW w:w="2720" w:type="dxa"/>
            <w:vAlign w:val="bottom"/>
            <w:tcBorders>
              <w:top w:val="single" w:sz="8" w:color="auto"/>
              <w:left w:val="single" w:sz="8" w:color="auto"/>
              <w:right w:val="single" w:sz="8" w:color="auto"/>
            </w:tcBorders>
          </w:tcPr>
          <w:p>
            <w:pPr>
              <w:spacing w:after="0"/>
              <w:rPr>
                <w:sz w:val="24"/>
                <w:szCs w:val="24"/>
                <w:color w:val="auto"/>
              </w:rPr>
            </w:pPr>
          </w:p>
        </w:tc>
        <w:tc>
          <w:tcPr>
            <w:tcW w:w="2340" w:type="dxa"/>
            <w:vAlign w:val="bottom"/>
            <w:tcBorders>
              <w:top w:val="single" w:sz="8" w:color="auto"/>
              <w:right w:val="single" w:sz="8" w:color="auto"/>
            </w:tcBorders>
          </w:tcPr>
          <w:p>
            <w:pPr>
              <w:jc w:val="center"/>
              <w:spacing w:after="0" w:line="302" w:lineRule="exact"/>
              <w:rPr>
                <w:sz w:val="20"/>
                <w:szCs w:val="20"/>
                <w:color w:val="auto"/>
              </w:rPr>
            </w:pPr>
            <w:r>
              <w:rPr>
                <w:rFonts w:ascii="Times New Roman" w:cs="Times New Roman" w:eastAsia="Times New Roman" w:hAnsi="Times New Roman"/>
                <w:sz w:val="28"/>
                <w:szCs w:val="28"/>
                <w:color w:val="auto"/>
              </w:rPr>
              <w:t>Остаточная</w:t>
            </w:r>
          </w:p>
        </w:tc>
        <w:tc>
          <w:tcPr>
            <w:tcW w:w="2340" w:type="dxa"/>
            <w:vAlign w:val="bottom"/>
            <w:tcBorders>
              <w:top w:val="single" w:sz="8" w:color="auto"/>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8"/>
                <w:szCs w:val="28"/>
                <w:color w:val="auto"/>
                <w:w w:val="99"/>
              </w:rPr>
              <w:t>Действительный</w:t>
            </w:r>
          </w:p>
        </w:tc>
        <w:tc>
          <w:tcPr>
            <w:tcW w:w="1980" w:type="dxa"/>
            <w:vAlign w:val="bottom"/>
            <w:tcBorders>
              <w:top w:val="single" w:sz="8" w:color="auto"/>
              <w:right w:val="single" w:sz="8" w:color="auto"/>
            </w:tcBorders>
          </w:tcPr>
          <w:p>
            <w:pPr>
              <w:jc w:val="center"/>
              <w:spacing w:after="0" w:line="302" w:lineRule="exact"/>
              <w:rPr>
                <w:sz w:val="20"/>
                <w:szCs w:val="20"/>
                <w:color w:val="auto"/>
              </w:rPr>
            </w:pPr>
            <w:r>
              <w:rPr>
                <w:rFonts w:ascii="Times New Roman" w:cs="Times New Roman" w:eastAsia="Times New Roman" w:hAnsi="Times New Roman"/>
                <w:sz w:val="28"/>
                <w:szCs w:val="28"/>
                <w:color w:val="auto"/>
              </w:rPr>
              <w:t>Срок</w:t>
            </w:r>
          </w:p>
        </w:tc>
        <w:tc>
          <w:tcPr>
            <w:tcW w:w="0" w:type="dxa"/>
            <w:vAlign w:val="bottom"/>
          </w:tcPr>
          <w:p>
            <w:pPr>
              <w:spacing w:after="0"/>
              <w:rPr>
                <w:sz w:val="1"/>
                <w:szCs w:val="1"/>
                <w:color w:val="auto"/>
              </w:rPr>
            </w:pPr>
          </w:p>
        </w:tc>
      </w:tr>
      <w:tr>
        <w:trPr>
          <w:trHeight w:val="280"/>
        </w:trPr>
        <w:tc>
          <w:tcPr>
            <w:tcW w:w="2720" w:type="dxa"/>
            <w:vAlign w:val="bottom"/>
            <w:tcBorders>
              <w:left w:val="single" w:sz="8" w:color="auto"/>
              <w:right w:val="single" w:sz="8" w:color="auto"/>
            </w:tcBorders>
          </w:tcPr>
          <w:p>
            <w:pPr>
              <w:ind w:left="740"/>
              <w:spacing w:after="0" w:line="280" w:lineRule="exact"/>
              <w:rPr>
                <w:sz w:val="20"/>
                <w:szCs w:val="20"/>
                <w:color w:val="auto"/>
              </w:rPr>
            </w:pPr>
            <w:r>
              <w:rPr>
                <w:rFonts w:ascii="Times New Roman" w:cs="Times New Roman" w:eastAsia="Times New Roman" w:hAnsi="Times New Roman"/>
                <w:sz w:val="28"/>
                <w:szCs w:val="28"/>
                <w:color w:val="auto"/>
              </w:rPr>
              <w:t>Элементы</w:t>
            </w:r>
          </w:p>
        </w:tc>
        <w:tc>
          <w:tcPr>
            <w:tcW w:w="2340" w:type="dxa"/>
            <w:vAlign w:val="bottom"/>
            <w:tcBorders>
              <w:right w:val="single" w:sz="8" w:color="auto"/>
            </w:tcBorders>
          </w:tcPr>
          <w:p>
            <w:pPr>
              <w:jc w:val="center"/>
              <w:spacing w:after="0" w:line="280" w:lineRule="exact"/>
              <w:rPr>
                <w:sz w:val="20"/>
                <w:szCs w:val="20"/>
                <w:color w:val="auto"/>
              </w:rPr>
            </w:pPr>
            <w:r>
              <w:rPr>
                <w:rFonts w:ascii="Times New Roman" w:cs="Times New Roman" w:eastAsia="Times New Roman" w:hAnsi="Times New Roman"/>
                <w:sz w:val="28"/>
                <w:szCs w:val="28"/>
                <w:color w:val="auto"/>
              </w:rPr>
              <w:t>восстановительная</w:t>
            </w:r>
          </w:p>
        </w:tc>
        <w:tc>
          <w:tcPr>
            <w:tcW w:w="2340" w:type="dxa"/>
            <w:vAlign w:val="bottom"/>
            <w:tcBorders>
              <w:right w:val="single" w:sz="8" w:color="auto"/>
            </w:tcBorders>
            <w:vMerge w:val="continue"/>
          </w:tcPr>
          <w:p>
            <w:pPr>
              <w:spacing w:after="0"/>
              <w:rPr>
                <w:sz w:val="24"/>
                <w:szCs w:val="24"/>
                <w:color w:val="auto"/>
              </w:rPr>
            </w:pPr>
          </w:p>
        </w:tc>
        <w:tc>
          <w:tcPr>
            <w:tcW w:w="1980" w:type="dxa"/>
            <w:vAlign w:val="bottom"/>
            <w:tcBorders>
              <w:right w:val="single" w:sz="8" w:color="auto"/>
            </w:tcBorders>
          </w:tcPr>
          <w:p>
            <w:pPr>
              <w:jc w:val="center"/>
              <w:spacing w:after="0" w:line="280" w:lineRule="exact"/>
              <w:rPr>
                <w:sz w:val="20"/>
                <w:szCs w:val="20"/>
                <w:color w:val="auto"/>
              </w:rPr>
            </w:pPr>
            <w:r>
              <w:rPr>
                <w:rFonts w:ascii="Times New Roman" w:cs="Times New Roman" w:eastAsia="Times New Roman" w:hAnsi="Times New Roman"/>
                <w:sz w:val="28"/>
                <w:szCs w:val="28"/>
                <w:color w:val="auto"/>
                <w:w w:val="99"/>
              </w:rPr>
              <w:t>экономической</w:t>
            </w:r>
          </w:p>
        </w:tc>
        <w:tc>
          <w:tcPr>
            <w:tcW w:w="0" w:type="dxa"/>
            <w:vAlign w:val="bottom"/>
          </w:tcPr>
          <w:p>
            <w:pPr>
              <w:spacing w:after="0"/>
              <w:rPr>
                <w:sz w:val="1"/>
                <w:szCs w:val="1"/>
                <w:color w:val="auto"/>
              </w:rPr>
            </w:pPr>
          </w:p>
        </w:tc>
      </w:tr>
      <w:tr>
        <w:trPr>
          <w:trHeight w:val="323"/>
        </w:trPr>
        <w:tc>
          <w:tcPr>
            <w:tcW w:w="2720" w:type="dxa"/>
            <w:vAlign w:val="bottom"/>
            <w:tcBorders>
              <w:left w:val="single" w:sz="8" w:color="auto"/>
              <w:right w:val="single" w:sz="8" w:color="auto"/>
            </w:tcBorders>
          </w:tcPr>
          <w:p>
            <w:pPr>
              <w:spacing w:after="0"/>
              <w:rPr>
                <w:sz w:val="24"/>
                <w:szCs w:val="24"/>
                <w:color w:val="auto"/>
              </w:rPr>
            </w:pPr>
          </w:p>
        </w:tc>
        <w:tc>
          <w:tcPr>
            <w:tcW w:w="234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8"/>
                <w:szCs w:val="28"/>
                <w:color w:val="auto"/>
                <w:w w:val="96"/>
              </w:rPr>
              <w:t>стоимость , руб.</w:t>
            </w:r>
          </w:p>
        </w:tc>
        <w:tc>
          <w:tcPr>
            <w:tcW w:w="23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8"/>
                <w:szCs w:val="28"/>
                <w:color w:val="auto"/>
                <w:w w:val="99"/>
              </w:rPr>
              <w:t>возраст, лет</w:t>
            </w:r>
          </w:p>
        </w:tc>
        <w:tc>
          <w:tcPr>
            <w:tcW w:w="198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8"/>
                <w:szCs w:val="28"/>
                <w:color w:val="auto"/>
                <w:w w:val="99"/>
              </w:rPr>
              <w:t>жизни, лет</w:t>
            </w:r>
          </w:p>
        </w:tc>
        <w:tc>
          <w:tcPr>
            <w:tcW w:w="0" w:type="dxa"/>
            <w:vAlign w:val="bottom"/>
          </w:tcPr>
          <w:p>
            <w:pPr>
              <w:spacing w:after="0"/>
              <w:rPr>
                <w:sz w:val="1"/>
                <w:szCs w:val="1"/>
                <w:color w:val="auto"/>
              </w:rPr>
            </w:pPr>
          </w:p>
        </w:tc>
      </w:tr>
      <w:tr>
        <w:trPr>
          <w:trHeight w:val="64"/>
        </w:trPr>
        <w:tc>
          <w:tcPr>
            <w:tcW w:w="2720" w:type="dxa"/>
            <w:vAlign w:val="bottom"/>
            <w:tcBorders>
              <w:left w:val="single" w:sz="8" w:color="auto"/>
              <w:bottom w:val="single" w:sz="8" w:color="auto"/>
              <w:right w:val="single" w:sz="8" w:color="auto"/>
            </w:tcBorders>
          </w:tcPr>
          <w:p>
            <w:pPr>
              <w:spacing w:after="0"/>
              <w:rPr>
                <w:sz w:val="5"/>
                <w:szCs w:val="5"/>
                <w:color w:val="auto"/>
              </w:rPr>
            </w:pPr>
          </w:p>
        </w:tc>
        <w:tc>
          <w:tcPr>
            <w:tcW w:w="2340" w:type="dxa"/>
            <w:vAlign w:val="bottom"/>
            <w:tcBorders>
              <w:bottom w:val="single" w:sz="8" w:color="auto"/>
              <w:right w:val="single" w:sz="8" w:color="auto"/>
            </w:tcBorders>
            <w:vMerge w:val="continue"/>
          </w:tcPr>
          <w:p>
            <w:pPr>
              <w:spacing w:after="0"/>
              <w:rPr>
                <w:sz w:val="5"/>
                <w:szCs w:val="5"/>
                <w:color w:val="auto"/>
              </w:rPr>
            </w:pPr>
          </w:p>
        </w:tc>
        <w:tc>
          <w:tcPr>
            <w:tcW w:w="2340" w:type="dxa"/>
            <w:vAlign w:val="bottom"/>
            <w:tcBorders>
              <w:bottom w:val="single" w:sz="8" w:color="auto"/>
              <w:right w:val="single" w:sz="8" w:color="auto"/>
            </w:tcBorders>
          </w:tcPr>
          <w:p>
            <w:pPr>
              <w:spacing w:after="0"/>
              <w:rPr>
                <w:sz w:val="5"/>
                <w:szCs w:val="5"/>
                <w:color w:val="auto"/>
              </w:rPr>
            </w:pPr>
          </w:p>
        </w:tc>
        <w:tc>
          <w:tcPr>
            <w:tcW w:w="1980" w:type="dxa"/>
            <w:vAlign w:val="bottom"/>
            <w:tcBorders>
              <w:bottom w:val="single" w:sz="8" w:color="auto"/>
              <w:right w:val="single" w:sz="8" w:color="auto"/>
            </w:tcBorders>
            <w:vMerge w:val="continue"/>
          </w:tcPr>
          <w:p>
            <w:pPr>
              <w:spacing w:after="0"/>
              <w:rPr>
                <w:sz w:val="5"/>
                <w:szCs w:val="5"/>
                <w:color w:val="auto"/>
              </w:rPr>
            </w:pPr>
          </w:p>
        </w:tc>
        <w:tc>
          <w:tcPr>
            <w:tcW w:w="0" w:type="dxa"/>
            <w:vAlign w:val="bottom"/>
          </w:tcPr>
          <w:p>
            <w:pPr>
              <w:spacing w:after="0"/>
              <w:rPr>
                <w:sz w:val="1"/>
                <w:szCs w:val="1"/>
                <w:color w:val="auto"/>
              </w:rPr>
            </w:pPr>
          </w:p>
        </w:tc>
      </w:tr>
      <w:tr>
        <w:trPr>
          <w:trHeight w:val="317"/>
        </w:trPr>
        <w:tc>
          <w:tcPr>
            <w:tcW w:w="2720" w:type="dxa"/>
            <w:vAlign w:val="bottom"/>
            <w:tcBorders>
              <w:left w:val="single" w:sz="8" w:color="auto"/>
              <w:bottom w:val="single" w:sz="8" w:color="auto"/>
              <w:right w:val="single" w:sz="8" w:color="auto"/>
            </w:tcBorders>
          </w:tcPr>
          <w:p>
            <w:pPr>
              <w:ind w:left="40"/>
              <w:spacing w:after="0" w:line="317" w:lineRule="exact"/>
              <w:rPr>
                <w:sz w:val="20"/>
                <w:szCs w:val="20"/>
                <w:color w:val="auto"/>
              </w:rPr>
            </w:pPr>
            <w:r>
              <w:rPr>
                <w:rFonts w:ascii="Times New Roman" w:cs="Times New Roman" w:eastAsia="Times New Roman" w:hAnsi="Times New Roman"/>
                <w:sz w:val="28"/>
                <w:szCs w:val="28"/>
                <w:color w:val="auto"/>
              </w:rPr>
              <w:t>Кровля</w:t>
            </w:r>
          </w:p>
        </w:tc>
        <w:tc>
          <w:tcPr>
            <w:tcW w:w="2340" w:type="dxa"/>
            <w:vAlign w:val="bottom"/>
            <w:tcBorders>
              <w:bottom w:val="single" w:sz="8" w:color="auto"/>
              <w:right w:val="single" w:sz="8" w:color="auto"/>
            </w:tcBorders>
          </w:tcPr>
          <w:p>
            <w:pPr>
              <w:jc w:val="center"/>
              <w:spacing w:after="0" w:line="317" w:lineRule="exact"/>
              <w:rPr>
                <w:sz w:val="20"/>
                <w:szCs w:val="20"/>
                <w:color w:val="auto"/>
              </w:rPr>
            </w:pPr>
            <w:r>
              <w:rPr>
                <w:rFonts w:ascii="Times New Roman" w:cs="Times New Roman" w:eastAsia="Times New Roman" w:hAnsi="Times New Roman"/>
                <w:sz w:val="28"/>
                <w:szCs w:val="28"/>
                <w:color w:val="auto"/>
                <w:w w:val="99"/>
              </w:rPr>
              <w:t>1800</w:t>
            </w:r>
          </w:p>
        </w:tc>
        <w:tc>
          <w:tcPr>
            <w:tcW w:w="2340" w:type="dxa"/>
            <w:vAlign w:val="bottom"/>
            <w:tcBorders>
              <w:bottom w:val="single" w:sz="8" w:color="auto"/>
              <w:right w:val="single" w:sz="8" w:color="auto"/>
            </w:tcBorders>
          </w:tcPr>
          <w:p>
            <w:pPr>
              <w:jc w:val="center"/>
              <w:spacing w:after="0" w:line="317" w:lineRule="exact"/>
              <w:rPr>
                <w:sz w:val="20"/>
                <w:szCs w:val="20"/>
                <w:color w:val="auto"/>
              </w:rPr>
            </w:pPr>
            <w:r>
              <w:rPr>
                <w:rFonts w:ascii="Times New Roman" w:cs="Times New Roman" w:eastAsia="Times New Roman" w:hAnsi="Times New Roman"/>
                <w:sz w:val="28"/>
                <w:szCs w:val="28"/>
                <w:color w:val="auto"/>
                <w:w w:val="99"/>
              </w:rPr>
              <w:t>10</w:t>
            </w:r>
          </w:p>
        </w:tc>
        <w:tc>
          <w:tcPr>
            <w:tcW w:w="1980" w:type="dxa"/>
            <w:vAlign w:val="bottom"/>
            <w:tcBorders>
              <w:bottom w:val="single" w:sz="8" w:color="auto"/>
              <w:right w:val="single" w:sz="8" w:color="auto"/>
            </w:tcBorders>
          </w:tcPr>
          <w:p>
            <w:pPr>
              <w:jc w:val="center"/>
              <w:spacing w:after="0" w:line="317" w:lineRule="exact"/>
              <w:rPr>
                <w:sz w:val="20"/>
                <w:szCs w:val="20"/>
                <w:color w:val="auto"/>
              </w:rPr>
            </w:pPr>
            <w:r>
              <w:rPr>
                <w:rFonts w:ascii="Times New Roman" w:cs="Times New Roman" w:eastAsia="Times New Roman" w:hAnsi="Times New Roman"/>
                <w:sz w:val="28"/>
                <w:szCs w:val="28"/>
                <w:color w:val="auto"/>
                <w:w w:val="99"/>
              </w:rPr>
              <w:t>15</w:t>
            </w:r>
          </w:p>
        </w:tc>
        <w:tc>
          <w:tcPr>
            <w:tcW w:w="0" w:type="dxa"/>
            <w:vAlign w:val="bottom"/>
          </w:tcPr>
          <w:p>
            <w:pPr>
              <w:spacing w:after="0"/>
              <w:rPr>
                <w:sz w:val="1"/>
                <w:szCs w:val="1"/>
                <w:color w:val="auto"/>
              </w:rPr>
            </w:pPr>
          </w:p>
        </w:tc>
      </w:tr>
      <w:tr>
        <w:trPr>
          <w:trHeight w:val="317"/>
        </w:trPr>
        <w:tc>
          <w:tcPr>
            <w:tcW w:w="2720" w:type="dxa"/>
            <w:vAlign w:val="bottom"/>
            <w:tcBorders>
              <w:left w:val="single" w:sz="8" w:color="auto"/>
              <w:bottom w:val="single" w:sz="8" w:color="auto"/>
              <w:right w:val="single" w:sz="8" w:color="auto"/>
            </w:tcBorders>
          </w:tcPr>
          <w:p>
            <w:pPr>
              <w:ind w:left="40"/>
              <w:spacing w:after="0" w:line="317" w:lineRule="exact"/>
              <w:rPr>
                <w:sz w:val="20"/>
                <w:szCs w:val="20"/>
                <w:color w:val="auto"/>
              </w:rPr>
            </w:pPr>
            <w:r>
              <w:rPr>
                <w:rFonts w:ascii="Times New Roman" w:cs="Times New Roman" w:eastAsia="Times New Roman" w:hAnsi="Times New Roman"/>
                <w:sz w:val="28"/>
                <w:szCs w:val="28"/>
                <w:color w:val="auto"/>
              </w:rPr>
              <w:t>Покрытие полов</w:t>
            </w:r>
          </w:p>
        </w:tc>
        <w:tc>
          <w:tcPr>
            <w:tcW w:w="2340" w:type="dxa"/>
            <w:vAlign w:val="bottom"/>
            <w:tcBorders>
              <w:bottom w:val="single" w:sz="8" w:color="auto"/>
              <w:right w:val="single" w:sz="8" w:color="auto"/>
            </w:tcBorders>
          </w:tcPr>
          <w:p>
            <w:pPr>
              <w:jc w:val="center"/>
              <w:spacing w:after="0" w:line="317" w:lineRule="exact"/>
              <w:rPr>
                <w:sz w:val="20"/>
                <w:szCs w:val="20"/>
                <w:color w:val="auto"/>
              </w:rPr>
            </w:pPr>
            <w:r>
              <w:rPr>
                <w:rFonts w:ascii="Times New Roman" w:cs="Times New Roman" w:eastAsia="Times New Roman" w:hAnsi="Times New Roman"/>
                <w:sz w:val="28"/>
                <w:szCs w:val="28"/>
                <w:color w:val="auto"/>
                <w:w w:val="99"/>
              </w:rPr>
              <w:t>3200</w:t>
            </w:r>
          </w:p>
        </w:tc>
        <w:tc>
          <w:tcPr>
            <w:tcW w:w="2340" w:type="dxa"/>
            <w:vAlign w:val="bottom"/>
            <w:tcBorders>
              <w:bottom w:val="single" w:sz="8" w:color="auto"/>
              <w:right w:val="single" w:sz="8" w:color="auto"/>
            </w:tcBorders>
          </w:tcPr>
          <w:p>
            <w:pPr>
              <w:jc w:val="center"/>
              <w:spacing w:after="0" w:line="317" w:lineRule="exact"/>
              <w:rPr>
                <w:sz w:val="20"/>
                <w:szCs w:val="20"/>
                <w:color w:val="auto"/>
              </w:rPr>
            </w:pPr>
            <w:r>
              <w:rPr>
                <w:rFonts w:ascii="Times New Roman" w:cs="Times New Roman" w:eastAsia="Times New Roman" w:hAnsi="Times New Roman"/>
                <w:sz w:val="28"/>
                <w:szCs w:val="28"/>
                <w:color w:val="auto"/>
                <w:w w:val="99"/>
              </w:rPr>
              <w:t>10</w:t>
            </w:r>
          </w:p>
        </w:tc>
        <w:tc>
          <w:tcPr>
            <w:tcW w:w="1980" w:type="dxa"/>
            <w:vAlign w:val="bottom"/>
            <w:tcBorders>
              <w:bottom w:val="single" w:sz="8" w:color="auto"/>
              <w:right w:val="single" w:sz="8" w:color="auto"/>
            </w:tcBorders>
          </w:tcPr>
          <w:p>
            <w:pPr>
              <w:jc w:val="center"/>
              <w:spacing w:after="0" w:line="317" w:lineRule="exact"/>
              <w:rPr>
                <w:sz w:val="20"/>
                <w:szCs w:val="20"/>
                <w:color w:val="auto"/>
              </w:rPr>
            </w:pPr>
            <w:r>
              <w:rPr>
                <w:rFonts w:ascii="Times New Roman" w:cs="Times New Roman" w:eastAsia="Times New Roman" w:hAnsi="Times New Roman"/>
                <w:sz w:val="28"/>
                <w:szCs w:val="28"/>
                <w:color w:val="auto"/>
                <w:w w:val="99"/>
              </w:rPr>
              <w:t>15</w:t>
            </w:r>
          </w:p>
        </w:tc>
        <w:tc>
          <w:tcPr>
            <w:tcW w:w="0" w:type="dxa"/>
            <w:vAlign w:val="bottom"/>
          </w:tcPr>
          <w:p>
            <w:pPr>
              <w:spacing w:after="0"/>
              <w:rPr>
                <w:sz w:val="1"/>
                <w:szCs w:val="1"/>
                <w:color w:val="auto"/>
              </w:rPr>
            </w:pPr>
          </w:p>
        </w:tc>
      </w:tr>
      <w:tr>
        <w:trPr>
          <w:trHeight w:val="316"/>
        </w:trPr>
        <w:tc>
          <w:tcPr>
            <w:tcW w:w="2720" w:type="dxa"/>
            <w:vAlign w:val="bottom"/>
            <w:tcBorders>
              <w:left w:val="single" w:sz="8" w:color="auto"/>
              <w:bottom w:val="single" w:sz="8" w:color="auto"/>
              <w:right w:val="single" w:sz="8" w:color="auto"/>
            </w:tcBorders>
          </w:tcPr>
          <w:p>
            <w:pPr>
              <w:ind w:left="40"/>
              <w:spacing w:after="0" w:line="316" w:lineRule="exact"/>
              <w:rPr>
                <w:sz w:val="20"/>
                <w:szCs w:val="20"/>
                <w:color w:val="auto"/>
              </w:rPr>
            </w:pPr>
            <w:r>
              <w:rPr>
                <w:rFonts w:ascii="Times New Roman" w:cs="Times New Roman" w:eastAsia="Times New Roman" w:hAnsi="Times New Roman"/>
                <w:sz w:val="28"/>
                <w:szCs w:val="28"/>
                <w:color w:val="auto"/>
              </w:rPr>
              <w:t>Окраска стен</w:t>
            </w:r>
          </w:p>
        </w:tc>
        <w:tc>
          <w:tcPr>
            <w:tcW w:w="2340" w:type="dxa"/>
            <w:vAlign w:val="bottom"/>
            <w:tcBorders>
              <w:bottom w:val="single" w:sz="8" w:color="auto"/>
              <w:right w:val="single" w:sz="8" w:color="auto"/>
            </w:tcBorders>
          </w:tcPr>
          <w:p>
            <w:pPr>
              <w:jc w:val="center"/>
              <w:spacing w:after="0" w:line="316" w:lineRule="exact"/>
              <w:rPr>
                <w:sz w:val="20"/>
                <w:szCs w:val="20"/>
                <w:color w:val="auto"/>
              </w:rPr>
            </w:pPr>
            <w:r>
              <w:rPr>
                <w:rFonts w:ascii="Times New Roman" w:cs="Times New Roman" w:eastAsia="Times New Roman" w:hAnsi="Times New Roman"/>
                <w:sz w:val="28"/>
                <w:szCs w:val="28"/>
                <w:color w:val="auto"/>
                <w:w w:val="99"/>
              </w:rPr>
              <w:t>4800</w:t>
            </w:r>
          </w:p>
        </w:tc>
        <w:tc>
          <w:tcPr>
            <w:tcW w:w="2340" w:type="dxa"/>
            <w:vAlign w:val="bottom"/>
            <w:tcBorders>
              <w:bottom w:val="single" w:sz="8" w:color="auto"/>
              <w:right w:val="single" w:sz="8" w:color="auto"/>
            </w:tcBorders>
          </w:tcPr>
          <w:p>
            <w:pPr>
              <w:jc w:val="center"/>
              <w:spacing w:after="0" w:line="316" w:lineRule="exact"/>
              <w:rPr>
                <w:sz w:val="20"/>
                <w:szCs w:val="20"/>
                <w:color w:val="auto"/>
              </w:rPr>
            </w:pPr>
            <w:r>
              <w:rPr>
                <w:rFonts w:ascii="Times New Roman" w:cs="Times New Roman" w:eastAsia="Times New Roman" w:hAnsi="Times New Roman"/>
                <w:sz w:val="28"/>
                <w:szCs w:val="28"/>
                <w:color w:val="auto"/>
                <w:w w:val="99"/>
              </w:rPr>
              <w:t>1</w:t>
            </w:r>
          </w:p>
        </w:tc>
        <w:tc>
          <w:tcPr>
            <w:tcW w:w="1980" w:type="dxa"/>
            <w:vAlign w:val="bottom"/>
            <w:tcBorders>
              <w:bottom w:val="single" w:sz="8" w:color="auto"/>
              <w:right w:val="single" w:sz="8" w:color="auto"/>
            </w:tcBorders>
          </w:tcPr>
          <w:p>
            <w:pPr>
              <w:jc w:val="center"/>
              <w:spacing w:after="0" w:line="316" w:lineRule="exact"/>
              <w:rPr>
                <w:sz w:val="20"/>
                <w:szCs w:val="20"/>
                <w:color w:val="auto"/>
              </w:rPr>
            </w:pPr>
            <w:r>
              <w:rPr>
                <w:rFonts w:ascii="Times New Roman" w:cs="Times New Roman" w:eastAsia="Times New Roman" w:hAnsi="Times New Roman"/>
                <w:sz w:val="28"/>
                <w:szCs w:val="28"/>
                <w:color w:val="auto"/>
                <w:w w:val="99"/>
              </w:rPr>
              <w:t>5</w:t>
            </w:r>
          </w:p>
        </w:tc>
        <w:tc>
          <w:tcPr>
            <w:tcW w:w="0" w:type="dxa"/>
            <w:vAlign w:val="bottom"/>
          </w:tcPr>
          <w:p>
            <w:pPr>
              <w:spacing w:after="0"/>
              <w:rPr>
                <w:sz w:val="1"/>
                <w:szCs w:val="1"/>
                <w:color w:val="auto"/>
              </w:rPr>
            </w:pPr>
          </w:p>
        </w:tc>
      </w:tr>
      <w:tr>
        <w:trPr>
          <w:trHeight w:val="317"/>
        </w:trPr>
        <w:tc>
          <w:tcPr>
            <w:tcW w:w="2720" w:type="dxa"/>
            <w:vAlign w:val="bottom"/>
            <w:tcBorders>
              <w:left w:val="single" w:sz="8" w:color="auto"/>
              <w:bottom w:val="single" w:sz="8" w:color="auto"/>
              <w:right w:val="single" w:sz="8" w:color="auto"/>
            </w:tcBorders>
          </w:tcPr>
          <w:p>
            <w:pPr>
              <w:ind w:left="40"/>
              <w:spacing w:after="0" w:line="317" w:lineRule="exact"/>
              <w:rPr>
                <w:sz w:val="20"/>
                <w:szCs w:val="20"/>
                <w:color w:val="auto"/>
              </w:rPr>
            </w:pPr>
            <w:r>
              <w:rPr>
                <w:rFonts w:ascii="Times New Roman" w:cs="Times New Roman" w:eastAsia="Times New Roman" w:hAnsi="Times New Roman"/>
                <w:sz w:val="28"/>
                <w:szCs w:val="28"/>
                <w:color w:val="auto"/>
              </w:rPr>
              <w:t>Побелка потолков</w:t>
            </w:r>
          </w:p>
        </w:tc>
        <w:tc>
          <w:tcPr>
            <w:tcW w:w="2340" w:type="dxa"/>
            <w:vAlign w:val="bottom"/>
            <w:tcBorders>
              <w:bottom w:val="single" w:sz="8" w:color="auto"/>
              <w:right w:val="single" w:sz="8" w:color="auto"/>
            </w:tcBorders>
          </w:tcPr>
          <w:p>
            <w:pPr>
              <w:jc w:val="center"/>
              <w:spacing w:after="0" w:line="317" w:lineRule="exact"/>
              <w:rPr>
                <w:sz w:val="20"/>
                <w:szCs w:val="20"/>
                <w:color w:val="auto"/>
              </w:rPr>
            </w:pPr>
            <w:r>
              <w:rPr>
                <w:rFonts w:ascii="Times New Roman" w:cs="Times New Roman" w:eastAsia="Times New Roman" w:hAnsi="Times New Roman"/>
                <w:sz w:val="28"/>
                <w:szCs w:val="28"/>
                <w:color w:val="auto"/>
                <w:w w:val="99"/>
              </w:rPr>
              <w:t>1200</w:t>
            </w:r>
          </w:p>
        </w:tc>
        <w:tc>
          <w:tcPr>
            <w:tcW w:w="2340" w:type="dxa"/>
            <w:vAlign w:val="bottom"/>
            <w:tcBorders>
              <w:bottom w:val="single" w:sz="8" w:color="auto"/>
              <w:right w:val="single" w:sz="8" w:color="auto"/>
            </w:tcBorders>
          </w:tcPr>
          <w:p>
            <w:pPr>
              <w:jc w:val="center"/>
              <w:spacing w:after="0" w:line="317" w:lineRule="exact"/>
              <w:rPr>
                <w:sz w:val="20"/>
                <w:szCs w:val="20"/>
                <w:color w:val="auto"/>
              </w:rPr>
            </w:pPr>
            <w:r>
              <w:rPr>
                <w:rFonts w:ascii="Times New Roman" w:cs="Times New Roman" w:eastAsia="Times New Roman" w:hAnsi="Times New Roman"/>
                <w:sz w:val="28"/>
                <w:szCs w:val="28"/>
                <w:color w:val="auto"/>
                <w:w w:val="99"/>
              </w:rPr>
              <w:t>5</w:t>
            </w:r>
          </w:p>
        </w:tc>
        <w:tc>
          <w:tcPr>
            <w:tcW w:w="1980" w:type="dxa"/>
            <w:vAlign w:val="bottom"/>
            <w:tcBorders>
              <w:bottom w:val="single" w:sz="8" w:color="auto"/>
              <w:right w:val="single" w:sz="8" w:color="auto"/>
            </w:tcBorders>
          </w:tcPr>
          <w:p>
            <w:pPr>
              <w:jc w:val="center"/>
              <w:spacing w:after="0" w:line="317" w:lineRule="exact"/>
              <w:rPr>
                <w:sz w:val="20"/>
                <w:szCs w:val="20"/>
                <w:color w:val="auto"/>
              </w:rPr>
            </w:pPr>
            <w:r>
              <w:rPr>
                <w:rFonts w:ascii="Times New Roman" w:cs="Times New Roman" w:eastAsia="Times New Roman" w:hAnsi="Times New Roman"/>
                <w:sz w:val="28"/>
                <w:szCs w:val="28"/>
                <w:color w:val="auto"/>
                <w:w w:val="99"/>
              </w:rPr>
              <w:t>10</w:t>
            </w:r>
          </w:p>
        </w:tc>
        <w:tc>
          <w:tcPr>
            <w:tcW w:w="0" w:type="dxa"/>
            <w:vAlign w:val="bottom"/>
          </w:tcPr>
          <w:p>
            <w:pPr>
              <w:spacing w:after="0"/>
              <w:rPr>
                <w:sz w:val="1"/>
                <w:szCs w:val="1"/>
                <w:color w:val="auto"/>
              </w:rPr>
            </w:pPr>
          </w:p>
        </w:tc>
      </w:tr>
      <w:tr>
        <w:trPr>
          <w:trHeight w:val="296"/>
        </w:trPr>
        <w:tc>
          <w:tcPr>
            <w:tcW w:w="2720" w:type="dxa"/>
            <w:vAlign w:val="bottom"/>
            <w:tcBorders>
              <w:left w:val="single" w:sz="8" w:color="auto"/>
              <w:right w:val="single" w:sz="8" w:color="auto"/>
            </w:tcBorders>
          </w:tcPr>
          <w:p>
            <w:pPr>
              <w:ind w:left="40"/>
              <w:spacing w:after="0" w:line="296" w:lineRule="exact"/>
              <w:rPr>
                <w:sz w:val="20"/>
                <w:szCs w:val="20"/>
                <w:color w:val="auto"/>
              </w:rPr>
            </w:pPr>
            <w:r>
              <w:rPr>
                <w:rFonts w:ascii="Times New Roman" w:cs="Times New Roman" w:eastAsia="Times New Roman" w:hAnsi="Times New Roman"/>
                <w:sz w:val="28"/>
                <w:szCs w:val="28"/>
                <w:color w:val="auto"/>
              </w:rPr>
              <w:t>Оборудование</w:t>
            </w:r>
          </w:p>
        </w:tc>
        <w:tc>
          <w:tcPr>
            <w:tcW w:w="2340" w:type="dxa"/>
            <w:vAlign w:val="bottom"/>
            <w:tcBorders>
              <w:right w:val="single" w:sz="8" w:color="auto"/>
            </w:tcBorders>
          </w:tcPr>
          <w:p>
            <w:pPr>
              <w:spacing w:after="0"/>
              <w:rPr>
                <w:sz w:val="24"/>
                <w:szCs w:val="24"/>
                <w:color w:val="auto"/>
              </w:rPr>
            </w:pPr>
          </w:p>
        </w:tc>
        <w:tc>
          <w:tcPr>
            <w:tcW w:w="2340" w:type="dxa"/>
            <w:vAlign w:val="bottom"/>
            <w:tcBorders>
              <w:right w:val="single" w:sz="8" w:color="auto"/>
            </w:tcBorders>
          </w:tcPr>
          <w:p>
            <w:pPr>
              <w:spacing w:after="0"/>
              <w:rPr>
                <w:sz w:val="24"/>
                <w:szCs w:val="24"/>
                <w:color w:val="auto"/>
              </w:rPr>
            </w:pPr>
          </w:p>
        </w:tc>
        <w:tc>
          <w:tcPr>
            <w:tcW w:w="19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22"/>
        </w:trPr>
        <w:tc>
          <w:tcPr>
            <w:tcW w:w="2720" w:type="dxa"/>
            <w:vAlign w:val="bottom"/>
            <w:tcBorders>
              <w:left w:val="single" w:sz="8" w:color="auto"/>
              <w:right w:val="single" w:sz="8" w:color="auto"/>
            </w:tcBorders>
          </w:tcPr>
          <w:p>
            <w:pPr>
              <w:ind w:left="40"/>
              <w:spacing w:after="0"/>
              <w:rPr>
                <w:sz w:val="20"/>
                <w:szCs w:val="20"/>
                <w:color w:val="auto"/>
              </w:rPr>
            </w:pPr>
            <w:r>
              <w:rPr>
                <w:rFonts w:ascii="Times New Roman" w:cs="Times New Roman" w:eastAsia="Times New Roman" w:hAnsi="Times New Roman"/>
                <w:sz w:val="28"/>
                <w:szCs w:val="28"/>
                <w:color w:val="auto"/>
              </w:rPr>
              <w:t>инженерных</w:t>
            </w:r>
          </w:p>
        </w:tc>
        <w:tc>
          <w:tcPr>
            <w:tcW w:w="2340" w:type="dxa"/>
            <w:vAlign w:val="bottom"/>
            <w:tcBorders>
              <w:right w:val="single" w:sz="8" w:color="auto"/>
            </w:tcBorders>
          </w:tcPr>
          <w:p>
            <w:pPr>
              <w:spacing w:after="0"/>
              <w:rPr>
                <w:sz w:val="24"/>
                <w:szCs w:val="24"/>
                <w:color w:val="auto"/>
              </w:rPr>
            </w:pPr>
          </w:p>
        </w:tc>
        <w:tc>
          <w:tcPr>
            <w:tcW w:w="2340" w:type="dxa"/>
            <w:vAlign w:val="bottom"/>
            <w:tcBorders>
              <w:right w:val="single" w:sz="8" w:color="auto"/>
            </w:tcBorders>
          </w:tcPr>
          <w:p>
            <w:pPr>
              <w:spacing w:after="0"/>
              <w:rPr>
                <w:sz w:val="24"/>
                <w:szCs w:val="24"/>
                <w:color w:val="auto"/>
              </w:rPr>
            </w:pPr>
          </w:p>
        </w:tc>
        <w:tc>
          <w:tcPr>
            <w:tcW w:w="19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23"/>
        </w:trPr>
        <w:tc>
          <w:tcPr>
            <w:tcW w:w="2720" w:type="dxa"/>
            <w:vAlign w:val="bottom"/>
            <w:tcBorders>
              <w:left w:val="single" w:sz="8" w:color="auto"/>
              <w:right w:val="single" w:sz="8" w:color="auto"/>
            </w:tcBorders>
          </w:tcPr>
          <w:p>
            <w:pPr>
              <w:ind w:left="40"/>
              <w:spacing w:after="0"/>
              <w:rPr>
                <w:sz w:val="20"/>
                <w:szCs w:val="20"/>
                <w:color w:val="auto"/>
              </w:rPr>
            </w:pPr>
            <w:r>
              <w:rPr>
                <w:rFonts w:ascii="Times New Roman" w:cs="Times New Roman" w:eastAsia="Times New Roman" w:hAnsi="Times New Roman"/>
                <w:sz w:val="28"/>
                <w:szCs w:val="28"/>
                <w:color w:val="auto"/>
              </w:rPr>
              <w:t>коммуникаций:</w:t>
            </w:r>
          </w:p>
        </w:tc>
        <w:tc>
          <w:tcPr>
            <w:tcW w:w="2340" w:type="dxa"/>
            <w:vAlign w:val="bottom"/>
            <w:tcBorders>
              <w:right w:val="single" w:sz="8" w:color="auto"/>
            </w:tcBorders>
          </w:tcPr>
          <w:p>
            <w:pPr>
              <w:spacing w:after="0"/>
              <w:rPr>
                <w:sz w:val="24"/>
                <w:szCs w:val="24"/>
                <w:color w:val="auto"/>
              </w:rPr>
            </w:pPr>
          </w:p>
        </w:tc>
        <w:tc>
          <w:tcPr>
            <w:tcW w:w="2340" w:type="dxa"/>
            <w:vAlign w:val="bottom"/>
            <w:tcBorders>
              <w:right w:val="single" w:sz="8" w:color="auto"/>
            </w:tcBorders>
          </w:tcPr>
          <w:p>
            <w:pPr>
              <w:spacing w:after="0"/>
              <w:rPr>
                <w:sz w:val="24"/>
                <w:szCs w:val="24"/>
                <w:color w:val="auto"/>
              </w:rPr>
            </w:pPr>
          </w:p>
        </w:tc>
        <w:tc>
          <w:tcPr>
            <w:tcW w:w="19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22"/>
        </w:trPr>
        <w:tc>
          <w:tcPr>
            <w:tcW w:w="2720" w:type="dxa"/>
            <w:vAlign w:val="bottom"/>
            <w:tcBorders>
              <w:left w:val="single" w:sz="8" w:color="auto"/>
              <w:right w:val="single" w:sz="8" w:color="auto"/>
            </w:tcBorders>
          </w:tcPr>
          <w:p>
            <w:pPr>
              <w:ind w:left="40"/>
              <w:spacing w:after="0"/>
              <w:rPr>
                <w:sz w:val="20"/>
                <w:szCs w:val="20"/>
                <w:color w:val="auto"/>
              </w:rPr>
            </w:pPr>
            <w:r>
              <w:rPr>
                <w:rFonts w:ascii="Times New Roman" w:cs="Times New Roman" w:eastAsia="Times New Roman" w:hAnsi="Times New Roman"/>
                <w:sz w:val="28"/>
                <w:szCs w:val="28"/>
                <w:color w:val="auto"/>
              </w:rPr>
              <w:t>- сантехническое</w:t>
            </w:r>
          </w:p>
        </w:tc>
        <w:tc>
          <w:tcPr>
            <w:tcW w:w="23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8"/>
                <w:szCs w:val="28"/>
                <w:color w:val="auto"/>
                <w:w w:val="99"/>
              </w:rPr>
              <w:t>8000</w:t>
            </w:r>
          </w:p>
        </w:tc>
        <w:tc>
          <w:tcPr>
            <w:tcW w:w="23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8"/>
                <w:szCs w:val="28"/>
                <w:color w:val="auto"/>
                <w:w w:val="99"/>
              </w:rPr>
              <w:t>10</w:t>
            </w:r>
          </w:p>
        </w:tc>
        <w:tc>
          <w:tcPr>
            <w:tcW w:w="19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8"/>
                <w:szCs w:val="28"/>
                <w:color w:val="auto"/>
                <w:w w:val="99"/>
              </w:rPr>
              <w:t>20</w:t>
            </w:r>
          </w:p>
        </w:tc>
        <w:tc>
          <w:tcPr>
            <w:tcW w:w="0" w:type="dxa"/>
            <w:vAlign w:val="bottom"/>
          </w:tcPr>
          <w:p>
            <w:pPr>
              <w:spacing w:after="0"/>
              <w:rPr>
                <w:sz w:val="1"/>
                <w:szCs w:val="1"/>
                <w:color w:val="auto"/>
              </w:rPr>
            </w:pPr>
          </w:p>
        </w:tc>
      </w:tr>
      <w:tr>
        <w:trPr>
          <w:trHeight w:val="344"/>
        </w:trPr>
        <w:tc>
          <w:tcPr>
            <w:tcW w:w="2720" w:type="dxa"/>
            <w:vAlign w:val="bottom"/>
            <w:tcBorders>
              <w:left w:val="single" w:sz="8" w:color="auto"/>
              <w:bottom w:val="single" w:sz="8" w:color="auto"/>
              <w:right w:val="single" w:sz="8" w:color="auto"/>
            </w:tcBorders>
          </w:tcPr>
          <w:p>
            <w:pPr>
              <w:ind w:left="40"/>
              <w:spacing w:after="0"/>
              <w:rPr>
                <w:sz w:val="20"/>
                <w:szCs w:val="20"/>
                <w:color w:val="auto"/>
              </w:rPr>
            </w:pPr>
            <w:r>
              <w:rPr>
                <w:rFonts w:ascii="Times New Roman" w:cs="Times New Roman" w:eastAsia="Times New Roman" w:hAnsi="Times New Roman"/>
                <w:sz w:val="28"/>
                <w:szCs w:val="28"/>
                <w:color w:val="auto"/>
              </w:rPr>
              <w:t>- электротехническое</w:t>
            </w:r>
          </w:p>
        </w:tc>
        <w:tc>
          <w:tcPr>
            <w:tcW w:w="234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8"/>
                <w:szCs w:val="28"/>
                <w:color w:val="auto"/>
                <w:w w:val="99"/>
              </w:rPr>
              <w:t>6900</w:t>
            </w:r>
          </w:p>
        </w:tc>
        <w:tc>
          <w:tcPr>
            <w:tcW w:w="234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8"/>
                <w:szCs w:val="28"/>
                <w:color w:val="auto"/>
                <w:w w:val="99"/>
              </w:rPr>
              <w:t>5</w:t>
            </w:r>
          </w:p>
        </w:tc>
        <w:tc>
          <w:tcPr>
            <w:tcW w:w="198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8"/>
                <w:szCs w:val="28"/>
                <w:color w:val="auto"/>
                <w:w w:val="99"/>
              </w:rPr>
              <w:t>10</w:t>
            </w: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3359785</wp:posOffset>
                </wp:positionH>
                <wp:positionV relativeFrom="paragraph">
                  <wp:posOffset>-2520950</wp:posOffset>
                </wp:positionV>
                <wp:extent cx="12700" cy="1270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w:pict>
              <v:rect id="Shape 8" o:spid="_x0000_s1033" style="position:absolute;margin-left:264.55pt;margin-top:-198.49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p>
      <w:pPr>
        <w:spacing w:after="0" w:line="280" w:lineRule="exact"/>
        <w:rPr>
          <w:sz w:val="20"/>
          <w:szCs w:val="20"/>
          <w:color w:val="auto"/>
        </w:rPr>
      </w:pPr>
    </w:p>
    <w:p>
      <w:pPr>
        <w:jc w:val="center"/>
        <w:ind w:right="-259"/>
        <w:spacing w:after="0"/>
        <w:rPr>
          <w:sz w:val="20"/>
          <w:szCs w:val="20"/>
          <w:color w:val="auto"/>
        </w:rPr>
      </w:pPr>
      <w:r>
        <w:rPr>
          <w:rFonts w:ascii="Times New Roman" w:cs="Times New Roman" w:eastAsia="Times New Roman" w:hAnsi="Times New Roman"/>
          <w:sz w:val="28"/>
          <w:szCs w:val="28"/>
          <w:color w:val="auto"/>
        </w:rPr>
        <w:t>3.2. Оценка рыночной стоимости машин и оборудования</w:t>
      </w:r>
    </w:p>
    <w:p>
      <w:pPr>
        <w:spacing w:after="0" w:line="322" w:lineRule="exact"/>
        <w:rPr>
          <w:sz w:val="20"/>
          <w:szCs w:val="20"/>
          <w:color w:val="auto"/>
        </w:rPr>
      </w:pPr>
    </w:p>
    <w:p>
      <w:pPr>
        <w:jc w:val="center"/>
        <w:ind w:right="-259"/>
        <w:spacing w:after="0"/>
        <w:rPr>
          <w:sz w:val="20"/>
          <w:szCs w:val="20"/>
          <w:color w:val="auto"/>
        </w:rPr>
      </w:pPr>
      <w:r>
        <w:rPr>
          <w:rFonts w:ascii="Times New Roman" w:cs="Times New Roman" w:eastAsia="Times New Roman" w:hAnsi="Times New Roman"/>
          <w:sz w:val="28"/>
          <w:szCs w:val="28"/>
          <w:color w:val="auto"/>
        </w:rPr>
        <w:t>ДЕМОНСТРАЦИОННЫЕ ЗАДАЧИ</w:t>
      </w:r>
    </w:p>
    <w:p>
      <w:pPr>
        <w:spacing w:after="0" w:line="321" w:lineRule="exact"/>
        <w:rPr>
          <w:sz w:val="20"/>
          <w:szCs w:val="20"/>
          <w:color w:val="auto"/>
        </w:rPr>
      </w:pPr>
    </w:p>
    <w:p>
      <w:pPr>
        <w:jc w:val="both"/>
        <w:ind w:left="260" w:firstLine="720"/>
        <w:spacing w:after="0" w:line="260" w:lineRule="auto"/>
        <w:rPr>
          <w:sz w:val="20"/>
          <w:szCs w:val="20"/>
          <w:color w:val="auto"/>
        </w:rPr>
      </w:pPr>
      <w:r>
        <w:rPr>
          <w:rFonts w:ascii="Times New Roman" w:cs="Times New Roman" w:eastAsia="Times New Roman" w:hAnsi="Times New Roman"/>
          <w:sz w:val="28"/>
          <w:szCs w:val="28"/>
          <w:u w:val="single" w:color="auto"/>
          <w:color w:val="auto"/>
        </w:rPr>
        <w:t>Задача</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u w:val="single" w:color="auto"/>
          <w:color w:val="auto"/>
        </w:rPr>
        <w:t>3.2.1.</w:t>
      </w:r>
      <w:r>
        <w:rPr>
          <w:rFonts w:ascii="Times New Roman" w:cs="Times New Roman" w:eastAsia="Times New Roman" w:hAnsi="Times New Roman"/>
          <w:sz w:val="28"/>
          <w:szCs w:val="28"/>
          <w:color w:val="auto"/>
        </w:rPr>
        <w:t xml:space="preserve"> Нужно определить восстановительную стоимость специального шкафа для хранения деталей в обеспыленной среде. Шкаф был изготовлен по индивидуальному заказу, и на рынке оборудования аналогов ему нет. Габаритные размеры шкафа 600 х 600 х 1800 мм. Ставка налога на прибыль 35%. Ставка НДС 20%.</w:t>
      </w:r>
    </w:p>
    <w:p>
      <w:pPr>
        <w:spacing w:after="0" w:line="1" w:lineRule="exact"/>
        <w:rPr>
          <w:sz w:val="20"/>
          <w:szCs w:val="20"/>
          <w:color w:val="auto"/>
        </w:rPr>
      </w:pPr>
    </w:p>
    <w:p>
      <w:pPr>
        <w:jc w:val="both"/>
        <w:ind w:left="260" w:firstLine="722"/>
        <w:spacing w:after="0" w:line="275" w:lineRule="auto"/>
        <w:tabs>
          <w:tab w:leader="none" w:pos="1347" w:val="left"/>
        </w:tabs>
        <w:numPr>
          <w:ilvl w:val="0"/>
          <w:numId w:val="8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качестве однородного объекта был выбран медицинский шкаф, размеры которого 500 х 400 х 2000 мм. Цена медицинского шкафа 5000 тыс. руб.</w:t>
      </w:r>
    </w:p>
    <w:p>
      <w:pPr>
        <w:spacing w:after="0" w:line="288" w:lineRule="exact"/>
        <w:rPr>
          <w:sz w:val="20"/>
          <w:szCs w:val="20"/>
          <w:color w:val="auto"/>
        </w:rPr>
      </w:pPr>
    </w:p>
    <w:p>
      <w:pPr>
        <w:ind w:left="980"/>
        <w:spacing w:after="0"/>
        <w:rPr>
          <w:sz w:val="20"/>
          <w:szCs w:val="20"/>
          <w:color w:val="auto"/>
        </w:rPr>
      </w:pPr>
      <w:r>
        <w:rPr>
          <w:rFonts w:ascii="Times New Roman" w:cs="Times New Roman" w:eastAsia="Times New Roman" w:hAnsi="Times New Roman"/>
          <w:sz w:val="28"/>
          <w:szCs w:val="28"/>
          <w:u w:val="single" w:color="auto"/>
          <w:color w:val="auto"/>
        </w:rPr>
        <w:t>Решение.</w:t>
      </w:r>
    </w:p>
    <w:p>
      <w:pPr>
        <w:spacing w:after="0" w:line="27" w:lineRule="exact"/>
        <w:rPr>
          <w:sz w:val="20"/>
          <w:szCs w:val="20"/>
          <w:color w:val="auto"/>
        </w:rPr>
      </w:pPr>
    </w:p>
    <w:p>
      <w:pPr>
        <w:jc w:val="both"/>
        <w:ind w:left="260" w:firstLine="720"/>
        <w:spacing w:after="0" w:line="259" w:lineRule="auto"/>
        <w:rPr>
          <w:sz w:val="20"/>
          <w:szCs w:val="20"/>
          <w:color w:val="auto"/>
        </w:rPr>
      </w:pPr>
      <w:r>
        <w:rPr>
          <w:rFonts w:ascii="Times New Roman" w:cs="Times New Roman" w:eastAsia="Times New Roman" w:hAnsi="Times New Roman"/>
          <w:sz w:val="28"/>
          <w:szCs w:val="28"/>
          <w:color w:val="auto"/>
        </w:rPr>
        <w:t>Принимаем коэффициент рентабельности для данной, пользующейся спросом продукции 0,25.</w:t>
      </w:r>
    </w:p>
    <w:p>
      <w:pPr>
        <w:spacing w:after="0" w:line="2" w:lineRule="exact"/>
        <w:rPr>
          <w:sz w:val="20"/>
          <w:szCs w:val="20"/>
          <w:color w:val="auto"/>
        </w:rPr>
      </w:pPr>
    </w:p>
    <w:p>
      <w:pPr>
        <w:ind w:left="980"/>
        <w:spacing w:after="0"/>
        <w:rPr>
          <w:sz w:val="20"/>
          <w:szCs w:val="20"/>
          <w:color w:val="auto"/>
        </w:rPr>
      </w:pPr>
      <w:r>
        <w:rPr>
          <w:rFonts w:ascii="Times New Roman" w:cs="Times New Roman" w:eastAsia="Times New Roman" w:hAnsi="Times New Roman"/>
          <w:sz w:val="28"/>
          <w:szCs w:val="28"/>
          <w:color w:val="auto"/>
        </w:rPr>
        <w:t>Определяем полную себестоимость медицинского шкафа:</w:t>
      </w:r>
    </w:p>
    <w:p>
      <w:pPr>
        <w:spacing w:after="0" w:line="110" w:lineRule="exact"/>
        <w:rPr>
          <w:sz w:val="20"/>
          <w:szCs w:val="20"/>
          <w:color w:val="auto"/>
        </w:rPr>
      </w:pPr>
    </w:p>
    <w:p>
      <w:pPr>
        <w:ind w:left="1740"/>
        <w:spacing w:after="0"/>
        <w:rPr>
          <w:sz w:val="20"/>
          <w:szCs w:val="20"/>
          <w:color w:val="auto"/>
        </w:rPr>
      </w:pPr>
      <w:r>
        <w:rPr>
          <w:rFonts w:ascii="Times New Roman" w:cs="Times New Roman" w:eastAsia="Times New Roman" w:hAnsi="Times New Roman"/>
          <w:sz w:val="30"/>
          <w:szCs w:val="30"/>
          <w:i w:val="1"/>
          <w:iCs w:val="1"/>
          <w:color w:val="auto"/>
        </w:rPr>
        <w:t>c</w:t>
      </w:r>
      <w:r>
        <w:rPr>
          <w:rFonts w:ascii="Times New Roman" w:cs="Times New Roman" w:eastAsia="Times New Roman" w:hAnsi="Times New Roman"/>
          <w:sz w:val="18"/>
          <w:szCs w:val="18"/>
          <w:color w:val="auto"/>
        </w:rPr>
        <w:t>п.од</w:t>
      </w:r>
      <w:r>
        <w:rPr>
          <w:rFonts w:ascii="Times New Roman" w:cs="Times New Roman" w:eastAsia="Times New Roman" w:hAnsi="Times New Roman"/>
          <w:sz w:val="30"/>
          <w:szCs w:val="30"/>
          <w:i w:val="1"/>
          <w:iCs w:val="1"/>
          <w:color w:val="auto"/>
        </w:rPr>
        <w:t xml:space="preserve">  </w:t>
      </w:r>
      <w:r>
        <w:rPr>
          <w:rFonts w:ascii="Symbol" w:cs="Symbol" w:eastAsia="Symbol" w:hAnsi="Symbol"/>
          <w:sz w:val="30"/>
          <w:szCs w:val="30"/>
          <w:color w:val="auto"/>
        </w:rPr>
        <w:t></w:t>
      </w:r>
      <w:r>
        <w:rPr>
          <w:rFonts w:ascii="Times New Roman" w:cs="Times New Roman" w:eastAsia="Times New Roman" w:hAnsi="Times New Roman"/>
          <w:sz w:val="30"/>
          <w:szCs w:val="30"/>
          <w:i w:val="1"/>
          <w:iCs w:val="1"/>
          <w:color w:val="auto"/>
        </w:rPr>
        <w:t xml:space="preserve"> </w:t>
      </w:r>
      <w:r>
        <w:rPr>
          <w:rFonts w:ascii="Times New Roman" w:cs="Times New Roman" w:eastAsia="Times New Roman" w:hAnsi="Times New Roman"/>
          <w:sz w:val="58"/>
          <w:szCs w:val="58"/>
          <w:color w:val="auto"/>
          <w:vertAlign w:val="superscript"/>
        </w:rPr>
        <w:t>(1</w:t>
      </w:r>
      <w:r>
        <w:rPr>
          <w:rFonts w:ascii="Symbol" w:cs="Symbol" w:eastAsia="Symbol" w:hAnsi="Symbol"/>
          <w:sz w:val="58"/>
          <w:szCs w:val="58"/>
          <w:color w:val="auto"/>
          <w:vertAlign w:val="superscript"/>
        </w:rPr>
        <w:t></w:t>
      </w:r>
      <w:r>
        <w:rPr>
          <w:rFonts w:ascii="Times New Roman" w:cs="Times New Roman" w:eastAsia="Times New Roman" w:hAnsi="Times New Roman"/>
          <w:sz w:val="30"/>
          <w:szCs w:val="30"/>
          <w:i w:val="1"/>
          <w:iCs w:val="1"/>
          <w:color w:val="auto"/>
        </w:rPr>
        <w:t xml:space="preserve"> </w:t>
      </w:r>
      <w:r>
        <w:rPr>
          <w:rFonts w:ascii="Times New Roman" w:cs="Times New Roman" w:eastAsia="Times New Roman" w:hAnsi="Times New Roman"/>
          <w:sz w:val="58"/>
          <w:szCs w:val="58"/>
          <w:color w:val="auto"/>
          <w:vertAlign w:val="superscript"/>
        </w:rPr>
        <w:t>0,2)(1</w:t>
      </w:r>
      <w:r>
        <w:rPr>
          <w:rFonts w:ascii="Symbol" w:cs="Symbol" w:eastAsia="Symbol" w:hAnsi="Symbol"/>
          <w:sz w:val="58"/>
          <w:szCs w:val="58"/>
          <w:color w:val="auto"/>
          <w:vertAlign w:val="superscript"/>
        </w:rPr>
        <w:t></w:t>
      </w:r>
      <w:r>
        <w:rPr>
          <w:rFonts w:ascii="Times New Roman" w:cs="Times New Roman" w:eastAsia="Times New Roman" w:hAnsi="Times New Roman"/>
          <w:sz w:val="30"/>
          <w:szCs w:val="30"/>
          <w:i w:val="1"/>
          <w:iCs w:val="1"/>
          <w:color w:val="auto"/>
        </w:rPr>
        <w:t xml:space="preserve"> </w:t>
      </w:r>
      <w:r>
        <w:rPr>
          <w:rFonts w:ascii="Times New Roman" w:cs="Times New Roman" w:eastAsia="Times New Roman" w:hAnsi="Times New Roman"/>
          <w:sz w:val="58"/>
          <w:szCs w:val="58"/>
          <w:color w:val="auto"/>
          <w:vertAlign w:val="superscript"/>
        </w:rPr>
        <w:t>0,35</w:t>
      </w:r>
      <w:r>
        <w:rPr>
          <w:rFonts w:ascii="Times New Roman" w:cs="Times New Roman" w:eastAsia="Times New Roman" w:hAnsi="Times New Roman"/>
          <w:sz w:val="30"/>
          <w:szCs w:val="30"/>
          <w:i w:val="1"/>
          <w:iCs w:val="1"/>
          <w:color w:val="auto"/>
        </w:rPr>
        <w:t xml:space="preserve"> </w:t>
      </w:r>
      <w:r>
        <w:rPr>
          <w:rFonts w:ascii="Symbol" w:cs="Symbol" w:eastAsia="Symbol" w:hAnsi="Symbol"/>
          <w:sz w:val="58"/>
          <w:szCs w:val="58"/>
          <w:color w:val="auto"/>
          <w:vertAlign w:val="superscript"/>
        </w:rPr>
        <w:t></w:t>
      </w:r>
      <w:r>
        <w:rPr>
          <w:rFonts w:ascii="Times New Roman" w:cs="Times New Roman" w:eastAsia="Times New Roman" w:hAnsi="Times New Roman"/>
          <w:sz w:val="30"/>
          <w:szCs w:val="30"/>
          <w:i w:val="1"/>
          <w:iCs w:val="1"/>
          <w:color w:val="auto"/>
        </w:rPr>
        <w:t xml:space="preserve"> </w:t>
      </w:r>
      <w:r>
        <w:rPr>
          <w:rFonts w:ascii="Times New Roman" w:cs="Times New Roman" w:eastAsia="Times New Roman" w:hAnsi="Times New Roman"/>
          <w:sz w:val="58"/>
          <w:szCs w:val="58"/>
          <w:color w:val="auto"/>
          <w:vertAlign w:val="superscript"/>
        </w:rPr>
        <w:t>0,25)5000</w:t>
      </w:r>
      <w:r>
        <w:rPr>
          <w:rFonts w:ascii="Times New Roman" w:cs="Times New Roman" w:eastAsia="Times New Roman" w:hAnsi="Times New Roman"/>
          <w:sz w:val="30"/>
          <w:szCs w:val="30"/>
          <w:i w:val="1"/>
          <w:iCs w:val="1"/>
          <w:color w:val="auto"/>
        </w:rPr>
        <w:t xml:space="preserve"> </w:t>
      </w:r>
      <w:r>
        <w:rPr>
          <w:rFonts w:ascii="Symbol" w:cs="Symbol" w:eastAsia="Symbol" w:hAnsi="Symbol"/>
          <w:sz w:val="58"/>
          <w:szCs w:val="58"/>
          <w:color w:val="auto"/>
          <w:vertAlign w:val="subscript"/>
        </w:rPr>
        <w:t></w:t>
      </w:r>
      <w:r>
        <w:rPr>
          <w:rFonts w:ascii="Times New Roman" w:cs="Times New Roman" w:eastAsia="Times New Roman" w:hAnsi="Times New Roman"/>
          <w:sz w:val="30"/>
          <w:szCs w:val="30"/>
          <w:i w:val="1"/>
          <w:iCs w:val="1"/>
          <w:color w:val="auto"/>
        </w:rPr>
        <w:t xml:space="preserve"> </w:t>
      </w:r>
      <w:r>
        <w:rPr>
          <w:rFonts w:ascii="Times New Roman" w:cs="Times New Roman" w:eastAsia="Times New Roman" w:hAnsi="Times New Roman"/>
          <w:sz w:val="58"/>
          <w:szCs w:val="58"/>
          <w:color w:val="auto"/>
          <w:vertAlign w:val="subscript"/>
        </w:rPr>
        <w:t>2461тыс.руб.</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1651000</wp:posOffset>
                </wp:positionH>
                <wp:positionV relativeFrom="paragraph">
                  <wp:posOffset>-5715</wp:posOffset>
                </wp:positionV>
                <wp:extent cx="2233930" cy="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233930" cy="4763"/>
                        </a:xfrm>
                        <a:prstGeom prst="line">
                          <a:avLst/>
                        </a:prstGeom>
                        <a:solidFill>
                          <a:srgbClr val="FFFFFF"/>
                        </a:solidFill>
                        <a:ln w="8191">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0pt,-0.4499pt" to="305.9pt,-0.4499pt" o:allowincell="f" strokecolor="#000000" strokeweight="0.645pt"/>
            </w:pict>
          </mc:Fallback>
        </mc:AlternateContent>
      </w:r>
    </w:p>
    <w:p>
      <w:pPr>
        <w:ind w:left="3880"/>
        <w:spacing w:after="0"/>
        <w:rPr>
          <w:sz w:val="20"/>
          <w:szCs w:val="20"/>
          <w:color w:val="auto"/>
        </w:rPr>
      </w:pPr>
      <w:r>
        <w:rPr>
          <w:rFonts w:ascii="Times New Roman" w:cs="Times New Roman" w:eastAsia="Times New Roman" w:hAnsi="Times New Roman"/>
          <w:sz w:val="31"/>
          <w:szCs w:val="31"/>
          <w:color w:val="auto"/>
        </w:rPr>
        <w:t>1</w:t>
      </w:r>
      <w:r>
        <w:rPr>
          <w:rFonts w:ascii="Symbol" w:cs="Symbol" w:eastAsia="Symbol" w:hAnsi="Symbol"/>
          <w:sz w:val="31"/>
          <w:szCs w:val="31"/>
          <w:color w:val="auto"/>
        </w:rPr>
        <w:t></w:t>
      </w:r>
      <w:r>
        <w:rPr>
          <w:rFonts w:ascii="Times New Roman" w:cs="Times New Roman" w:eastAsia="Times New Roman" w:hAnsi="Times New Roman"/>
          <w:sz w:val="31"/>
          <w:szCs w:val="31"/>
          <w:color w:val="auto"/>
        </w:rPr>
        <w:t xml:space="preserve"> 0,35</w:t>
      </w:r>
    </w:p>
    <w:p>
      <w:pPr>
        <w:spacing w:after="0" w:line="254" w:lineRule="exact"/>
        <w:rPr>
          <w:sz w:val="20"/>
          <w:szCs w:val="20"/>
          <w:color w:val="auto"/>
        </w:rPr>
      </w:pPr>
    </w:p>
    <w:p>
      <w:pPr>
        <w:jc w:val="both"/>
        <w:ind w:left="260" w:firstLine="720"/>
        <w:spacing w:after="0" w:line="275" w:lineRule="auto"/>
        <w:rPr>
          <w:sz w:val="20"/>
          <w:szCs w:val="20"/>
          <w:color w:val="auto"/>
        </w:rPr>
      </w:pPr>
      <w:r>
        <w:rPr>
          <w:rFonts w:ascii="Times New Roman" w:cs="Times New Roman" w:eastAsia="Times New Roman" w:hAnsi="Times New Roman"/>
          <w:sz w:val="28"/>
          <w:szCs w:val="28"/>
          <w:color w:val="auto"/>
        </w:rPr>
        <w:t>Полную себестоимость изготовления оцениваемого объекта получаем путем корректировки полной себестоимости медицинского шкафа на разницу в объеме:</w:t>
      </w:r>
    </w:p>
    <w:p>
      <w:pPr>
        <w:ind w:left="2200"/>
        <w:spacing w:after="0" w:line="227" w:lineRule="auto"/>
        <w:rPr>
          <w:sz w:val="20"/>
          <w:szCs w:val="20"/>
          <w:color w:val="auto"/>
        </w:rPr>
      </w:pPr>
      <w:r>
        <w:rPr>
          <w:rFonts w:ascii="Times New Roman" w:cs="Times New Roman" w:eastAsia="Times New Roman" w:hAnsi="Times New Roman"/>
          <w:sz w:val="65"/>
          <w:szCs w:val="65"/>
          <w:i w:val="1"/>
          <w:iCs w:val="1"/>
          <w:color w:val="auto"/>
          <w:vertAlign w:val="subscript"/>
        </w:rPr>
        <w:t>с</w:t>
      </w:r>
      <w:r>
        <w:rPr>
          <w:rFonts w:ascii="Times New Roman" w:cs="Times New Roman" w:eastAsia="Times New Roman" w:hAnsi="Times New Roman"/>
          <w:sz w:val="19"/>
          <w:szCs w:val="19"/>
          <w:color w:val="auto"/>
        </w:rPr>
        <w:t xml:space="preserve">п </w:t>
      </w:r>
      <w:r>
        <w:rPr>
          <w:rFonts w:ascii="Symbol" w:cs="Symbol" w:eastAsia="Symbol" w:hAnsi="Symbol"/>
          <w:sz w:val="65"/>
          <w:szCs w:val="65"/>
          <w:color w:val="auto"/>
          <w:vertAlign w:val="subscript"/>
        </w:rPr>
        <w:t></w:t>
      </w:r>
      <w:r>
        <w:rPr>
          <w:rFonts w:ascii="Times New Roman" w:cs="Times New Roman" w:eastAsia="Times New Roman" w:hAnsi="Times New Roman"/>
          <w:sz w:val="19"/>
          <w:szCs w:val="19"/>
          <w:color w:val="auto"/>
        </w:rPr>
        <w:t xml:space="preserve"> </w:t>
      </w:r>
      <w:r>
        <w:rPr>
          <w:rFonts w:ascii="Times New Roman" w:cs="Times New Roman" w:eastAsia="Times New Roman" w:hAnsi="Times New Roman"/>
          <w:sz w:val="65"/>
          <w:szCs w:val="65"/>
          <w:color w:val="auto"/>
          <w:vertAlign w:val="subscript"/>
        </w:rPr>
        <w:t>2461</w:t>
      </w:r>
      <w:r>
        <w:rPr>
          <w:rFonts w:ascii="Times New Roman" w:cs="Times New Roman" w:eastAsia="Times New Roman" w:hAnsi="Times New Roman"/>
          <w:sz w:val="19"/>
          <w:szCs w:val="19"/>
          <w:color w:val="auto"/>
        </w:rPr>
        <w:t xml:space="preserve"> </w:t>
      </w:r>
      <w:r>
        <w:rPr>
          <w:rFonts w:ascii="Times New Roman" w:cs="Times New Roman" w:eastAsia="Times New Roman" w:hAnsi="Times New Roman"/>
          <w:sz w:val="65"/>
          <w:szCs w:val="65"/>
          <w:u w:val="single" w:color="auto"/>
          <w:color w:val="auto"/>
          <w:vertAlign w:val="superscript"/>
        </w:rPr>
        <w:t>600</w:t>
      </w:r>
      <w:r>
        <w:rPr>
          <w:rFonts w:ascii="Times New Roman" w:cs="Times New Roman" w:eastAsia="Times New Roman" w:hAnsi="Times New Roman"/>
          <w:sz w:val="65"/>
          <w:szCs w:val="65"/>
          <w:i w:val="1"/>
          <w:iCs w:val="1"/>
          <w:u w:val="single" w:color="auto"/>
          <w:color w:val="auto"/>
          <w:vertAlign w:val="superscript"/>
        </w:rPr>
        <w:t>х</w:t>
      </w:r>
      <w:r>
        <w:rPr>
          <w:rFonts w:ascii="Times New Roman" w:cs="Times New Roman" w:eastAsia="Times New Roman" w:hAnsi="Times New Roman"/>
          <w:sz w:val="65"/>
          <w:szCs w:val="65"/>
          <w:u w:val="single" w:color="auto"/>
          <w:color w:val="auto"/>
          <w:vertAlign w:val="superscript"/>
        </w:rPr>
        <w:t>600</w:t>
      </w:r>
      <w:r>
        <w:rPr>
          <w:rFonts w:ascii="Times New Roman" w:cs="Times New Roman" w:eastAsia="Times New Roman" w:hAnsi="Times New Roman"/>
          <w:sz w:val="65"/>
          <w:szCs w:val="65"/>
          <w:i w:val="1"/>
          <w:iCs w:val="1"/>
          <w:u w:val="single" w:color="auto"/>
          <w:color w:val="auto"/>
          <w:vertAlign w:val="superscript"/>
        </w:rPr>
        <w:t>х</w:t>
      </w:r>
      <w:r>
        <w:rPr>
          <w:rFonts w:ascii="Times New Roman" w:cs="Times New Roman" w:eastAsia="Times New Roman" w:hAnsi="Times New Roman"/>
          <w:sz w:val="65"/>
          <w:szCs w:val="65"/>
          <w:u w:val="single" w:color="auto"/>
          <w:color w:val="auto"/>
          <w:vertAlign w:val="superscript"/>
        </w:rPr>
        <w:t>1800</w:t>
      </w:r>
      <w:r>
        <w:rPr>
          <w:rFonts w:ascii="Times New Roman" w:cs="Times New Roman" w:eastAsia="Times New Roman" w:hAnsi="Times New Roman"/>
          <w:sz w:val="19"/>
          <w:szCs w:val="19"/>
          <w:color w:val="auto"/>
        </w:rPr>
        <w:t xml:space="preserve"> </w:t>
      </w:r>
      <w:r>
        <w:rPr>
          <w:rFonts w:ascii="Symbol" w:cs="Symbol" w:eastAsia="Symbol" w:hAnsi="Symbol"/>
          <w:sz w:val="65"/>
          <w:szCs w:val="65"/>
          <w:color w:val="auto"/>
          <w:vertAlign w:val="subscript"/>
        </w:rPr>
        <w:t></w:t>
      </w:r>
      <w:r>
        <w:rPr>
          <w:rFonts w:ascii="Times New Roman" w:cs="Times New Roman" w:eastAsia="Times New Roman" w:hAnsi="Times New Roman"/>
          <w:sz w:val="19"/>
          <w:szCs w:val="19"/>
          <w:color w:val="auto"/>
        </w:rPr>
        <w:t xml:space="preserve"> </w:t>
      </w:r>
      <w:r>
        <w:rPr>
          <w:rFonts w:ascii="Times New Roman" w:cs="Times New Roman" w:eastAsia="Times New Roman" w:hAnsi="Times New Roman"/>
          <w:sz w:val="65"/>
          <w:szCs w:val="65"/>
          <w:color w:val="auto"/>
          <w:vertAlign w:val="subscript"/>
        </w:rPr>
        <w:t>3987тыс.руб.</w:t>
      </w:r>
    </w:p>
    <w:p>
      <w:pPr>
        <w:spacing w:after="0" w:line="3" w:lineRule="exact"/>
        <w:rPr>
          <w:sz w:val="20"/>
          <w:szCs w:val="20"/>
          <w:color w:val="auto"/>
        </w:rPr>
      </w:pPr>
    </w:p>
    <w:p>
      <w:pPr>
        <w:ind w:left="3500"/>
        <w:spacing w:after="0"/>
        <w:rPr>
          <w:sz w:val="20"/>
          <w:szCs w:val="20"/>
          <w:color w:val="auto"/>
        </w:rPr>
      </w:pPr>
      <w:r>
        <w:rPr>
          <w:rFonts w:ascii="Times New Roman" w:cs="Times New Roman" w:eastAsia="Times New Roman" w:hAnsi="Times New Roman"/>
          <w:sz w:val="33"/>
          <w:szCs w:val="33"/>
          <w:color w:val="auto"/>
        </w:rPr>
        <w:t>500</w:t>
      </w:r>
      <w:r>
        <w:rPr>
          <w:rFonts w:ascii="Times New Roman" w:cs="Times New Roman" w:eastAsia="Times New Roman" w:hAnsi="Times New Roman"/>
          <w:sz w:val="33"/>
          <w:szCs w:val="33"/>
          <w:i w:val="1"/>
          <w:iCs w:val="1"/>
          <w:color w:val="auto"/>
        </w:rPr>
        <w:t>х</w:t>
      </w:r>
      <w:r>
        <w:rPr>
          <w:rFonts w:ascii="Times New Roman" w:cs="Times New Roman" w:eastAsia="Times New Roman" w:hAnsi="Times New Roman"/>
          <w:sz w:val="33"/>
          <w:szCs w:val="33"/>
          <w:color w:val="auto"/>
        </w:rPr>
        <w:t>400</w:t>
      </w:r>
      <w:r>
        <w:rPr>
          <w:rFonts w:ascii="Times New Roman" w:cs="Times New Roman" w:eastAsia="Times New Roman" w:hAnsi="Times New Roman"/>
          <w:sz w:val="33"/>
          <w:szCs w:val="33"/>
          <w:i w:val="1"/>
          <w:iCs w:val="1"/>
          <w:color w:val="auto"/>
        </w:rPr>
        <w:t>х</w:t>
      </w:r>
      <w:r>
        <w:rPr>
          <w:rFonts w:ascii="Times New Roman" w:cs="Times New Roman" w:eastAsia="Times New Roman" w:hAnsi="Times New Roman"/>
          <w:sz w:val="33"/>
          <w:szCs w:val="33"/>
          <w:color w:val="auto"/>
        </w:rPr>
        <w:t>2000</w:t>
      </w:r>
    </w:p>
    <w:p>
      <w:pPr>
        <w:sectPr>
          <w:pgSz w:w="11900" w:h="16840" w:orient="portrait"/>
          <w:cols w:equalWidth="0" w:num="1">
            <w:col w:w="9620"/>
          </w:cols>
          <w:pgMar w:left="1440" w:top="1112" w:right="844" w:bottom="163" w:gutter="0" w:footer="0" w:header="0"/>
        </w:sectPr>
      </w:pPr>
    </w:p>
    <w:p>
      <w:pPr>
        <w:spacing w:after="0" w:line="298" w:lineRule="exact"/>
        <w:rPr>
          <w:sz w:val="20"/>
          <w:szCs w:val="20"/>
          <w:color w:val="auto"/>
        </w:rPr>
      </w:pPr>
    </w:p>
    <w:p>
      <w:pPr>
        <w:ind w:left="9380"/>
        <w:spacing w:after="0"/>
        <w:rPr>
          <w:sz w:val="20"/>
          <w:szCs w:val="20"/>
          <w:color w:val="auto"/>
        </w:rPr>
      </w:pPr>
      <w:r>
        <w:rPr>
          <w:rFonts w:ascii="Times New Roman" w:cs="Times New Roman" w:eastAsia="Times New Roman" w:hAnsi="Times New Roman"/>
          <w:sz w:val="24"/>
          <w:szCs w:val="24"/>
          <w:color w:val="auto"/>
        </w:rPr>
        <w:t>31</w:t>
      </w:r>
    </w:p>
    <w:p>
      <w:pPr>
        <w:sectPr>
          <w:pgSz w:w="11900" w:h="16840" w:orient="portrait"/>
          <w:cols w:equalWidth="0" w:num="1">
            <w:col w:w="9620"/>
          </w:cols>
          <w:pgMar w:left="1440" w:top="1112" w:right="844" w:bottom="163" w:gutter="0" w:footer="0" w:header="0"/>
          <w:type w:val="continuous"/>
        </w:sectPr>
      </w:pPr>
    </w:p>
    <w:p>
      <w:pPr>
        <w:ind w:left="260" w:firstLine="720"/>
        <w:spacing w:after="0" w:line="266" w:lineRule="auto"/>
        <w:rPr>
          <w:sz w:val="20"/>
          <w:szCs w:val="20"/>
          <w:color w:val="auto"/>
        </w:rPr>
      </w:pPr>
      <w:r>
        <w:rPr>
          <w:rFonts w:ascii="Times New Roman" w:cs="Times New Roman" w:eastAsia="Times New Roman" w:hAnsi="Times New Roman"/>
          <w:sz w:val="28"/>
          <w:szCs w:val="28"/>
          <w:u w:val="single" w:color="auto"/>
          <w:color w:val="auto"/>
        </w:rPr>
        <w:t>Задача</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u w:val="single" w:color="auto"/>
          <w:color w:val="auto"/>
        </w:rPr>
        <w:t>3.2.2.</w:t>
      </w:r>
      <w:r>
        <w:rPr>
          <w:rFonts w:ascii="Times New Roman" w:cs="Times New Roman" w:eastAsia="Times New Roman" w:hAnsi="Times New Roman"/>
          <w:sz w:val="28"/>
          <w:szCs w:val="28"/>
          <w:color w:val="auto"/>
        </w:rPr>
        <w:t xml:space="preserve"> Определить стоимость установки для производства хлебобулочных изделий методом прямой капитализации, если:</w:t>
      </w:r>
    </w:p>
    <w:p>
      <w:pPr>
        <w:spacing w:after="0" w:line="4" w:lineRule="exact"/>
        <w:rPr>
          <w:sz w:val="20"/>
          <w:szCs w:val="20"/>
          <w:color w:val="auto"/>
        </w:rPr>
      </w:pPr>
    </w:p>
    <w:p>
      <w:pPr>
        <w:ind w:left="1340" w:hanging="358"/>
        <w:spacing w:after="0"/>
        <w:tabs>
          <w:tab w:leader="none" w:pos="1340" w:val="left"/>
        </w:tabs>
        <w:numPr>
          <w:ilvl w:val="0"/>
          <w:numId w:val="83"/>
        </w:numPr>
        <w:rPr>
          <w:rFonts w:ascii="Symbol" w:cs="Symbol" w:eastAsia="Symbol" w:hAnsi="Symbol"/>
          <w:sz w:val="28"/>
          <w:szCs w:val="28"/>
          <w:color w:val="auto"/>
        </w:rPr>
      </w:pPr>
      <w:r>
        <w:rPr>
          <w:rFonts w:ascii="Times New Roman" w:cs="Times New Roman" w:eastAsia="Times New Roman" w:hAnsi="Times New Roman"/>
          <w:sz w:val="28"/>
          <w:szCs w:val="28"/>
          <w:color w:val="auto"/>
        </w:rPr>
        <w:t>чистый годовой доход D от использования установки 5000 руб.;</w:t>
      </w:r>
    </w:p>
    <w:p>
      <w:pPr>
        <w:spacing w:after="0" w:line="26" w:lineRule="exact"/>
        <w:rPr>
          <w:rFonts w:ascii="Symbol" w:cs="Symbol" w:eastAsia="Symbol" w:hAnsi="Symbol"/>
          <w:sz w:val="28"/>
          <w:szCs w:val="28"/>
          <w:color w:val="auto"/>
        </w:rPr>
      </w:pPr>
    </w:p>
    <w:p>
      <w:pPr>
        <w:ind w:left="1340" w:hanging="359"/>
        <w:spacing w:after="0"/>
        <w:tabs>
          <w:tab w:leader="none" w:pos="1340" w:val="left"/>
        </w:tabs>
        <w:numPr>
          <w:ilvl w:val="0"/>
          <w:numId w:val="83"/>
        </w:numPr>
        <w:rPr>
          <w:rFonts w:ascii="Symbol" w:cs="Symbol" w:eastAsia="Symbol" w:hAnsi="Symbol"/>
          <w:sz w:val="28"/>
          <w:szCs w:val="28"/>
          <w:color w:val="auto"/>
        </w:rPr>
      </w:pPr>
      <w:r>
        <w:rPr>
          <w:rFonts w:ascii="Times New Roman" w:cs="Times New Roman" w:eastAsia="Times New Roman" w:hAnsi="Times New Roman"/>
          <w:sz w:val="28"/>
          <w:szCs w:val="28"/>
          <w:color w:val="auto"/>
        </w:rPr>
        <w:t>годовая ставка дисконта r = 0,25;</w:t>
      </w:r>
    </w:p>
    <w:p>
      <w:pPr>
        <w:spacing w:after="0" w:line="20" w:lineRule="exact"/>
        <w:rPr>
          <w:rFonts w:ascii="Symbol" w:cs="Symbol" w:eastAsia="Symbol" w:hAnsi="Symbol"/>
          <w:sz w:val="28"/>
          <w:szCs w:val="28"/>
          <w:color w:val="auto"/>
        </w:rPr>
      </w:pPr>
    </w:p>
    <w:p>
      <w:pPr>
        <w:ind w:left="1340" w:hanging="359"/>
        <w:spacing w:after="0" w:line="219" w:lineRule="auto"/>
        <w:tabs>
          <w:tab w:leader="none" w:pos="1340" w:val="left"/>
        </w:tabs>
        <w:numPr>
          <w:ilvl w:val="0"/>
          <w:numId w:val="83"/>
        </w:numPr>
        <w:rPr>
          <w:rFonts w:ascii="Symbol" w:cs="Symbol" w:eastAsia="Symbol" w:hAnsi="Symbol"/>
          <w:sz w:val="28"/>
          <w:szCs w:val="28"/>
          <w:color w:val="auto"/>
        </w:rPr>
      </w:pPr>
      <w:r>
        <w:rPr>
          <w:rFonts w:ascii="Times New Roman" w:cs="Times New Roman" w:eastAsia="Times New Roman" w:hAnsi="Times New Roman"/>
          <w:sz w:val="28"/>
          <w:szCs w:val="28"/>
          <w:color w:val="auto"/>
        </w:rPr>
        <w:t>коэффициент амортизации k</w:t>
      </w:r>
      <w:r>
        <w:rPr>
          <w:rFonts w:ascii="Times New Roman" w:cs="Times New Roman" w:eastAsia="Times New Roman" w:hAnsi="Times New Roman"/>
          <w:sz w:val="36"/>
          <w:szCs w:val="36"/>
          <w:color w:val="auto"/>
          <w:vertAlign w:val="subscript"/>
        </w:rPr>
        <w:t>a</w:t>
      </w:r>
      <w:r>
        <w:rPr>
          <w:rFonts w:ascii="Times New Roman" w:cs="Times New Roman" w:eastAsia="Times New Roman" w:hAnsi="Times New Roman"/>
          <w:sz w:val="28"/>
          <w:szCs w:val="28"/>
          <w:color w:val="auto"/>
        </w:rPr>
        <w:t xml:space="preserve"> = 0,26 .</w:t>
      </w:r>
    </w:p>
    <w:p>
      <w:pPr>
        <w:spacing w:after="0" w:line="324" w:lineRule="exact"/>
        <w:rPr>
          <w:sz w:val="20"/>
          <w:szCs w:val="20"/>
          <w:color w:val="auto"/>
        </w:rPr>
      </w:pPr>
    </w:p>
    <w:p>
      <w:pPr>
        <w:ind w:left="980"/>
        <w:spacing w:after="0"/>
        <w:rPr>
          <w:sz w:val="20"/>
          <w:szCs w:val="20"/>
          <w:color w:val="auto"/>
        </w:rPr>
      </w:pPr>
      <w:r>
        <w:rPr>
          <w:rFonts w:ascii="Times New Roman" w:cs="Times New Roman" w:eastAsia="Times New Roman" w:hAnsi="Times New Roman"/>
          <w:sz w:val="28"/>
          <w:szCs w:val="28"/>
          <w:u w:val="single" w:color="auto"/>
          <w:color w:val="auto"/>
        </w:rPr>
        <w:t>Решение.</w:t>
      </w:r>
    </w:p>
    <w:p>
      <w:pPr>
        <w:spacing w:after="0" w:line="27" w:lineRule="exact"/>
        <w:rPr>
          <w:sz w:val="20"/>
          <w:szCs w:val="20"/>
          <w:color w:val="auto"/>
        </w:rPr>
      </w:pPr>
    </w:p>
    <w:p>
      <w:pPr>
        <w:ind w:left="980"/>
        <w:spacing w:after="0"/>
        <w:rPr>
          <w:sz w:val="20"/>
          <w:szCs w:val="20"/>
          <w:color w:val="auto"/>
        </w:rPr>
      </w:pPr>
      <w:r>
        <w:rPr>
          <w:rFonts w:ascii="Times New Roman" w:cs="Times New Roman" w:eastAsia="Times New Roman" w:hAnsi="Times New Roman"/>
          <w:sz w:val="28"/>
          <w:szCs w:val="28"/>
          <w:color w:val="auto"/>
        </w:rPr>
        <w:t>Стоимость установки равна:</w:t>
      </w:r>
    </w:p>
    <w:p>
      <w:pPr>
        <w:spacing w:after="0" w:line="32" w:lineRule="exact"/>
        <w:rPr>
          <w:sz w:val="20"/>
          <w:szCs w:val="20"/>
          <w:color w:val="auto"/>
        </w:rPr>
      </w:pPr>
    </w:p>
    <w:tbl>
      <w:tblPr>
        <w:tblLayout w:type="fixed"/>
        <w:tblInd w:w="2380" w:type="dxa"/>
        <w:tblCellMar>
          <w:top w:w="0" w:type="dxa"/>
          <w:left w:w="0" w:type="dxa"/>
          <w:bottom w:w="0" w:type="dxa"/>
          <w:right w:w="0" w:type="dxa"/>
        </w:tblCellMar>
      </w:tblPr>
      <w:tr>
        <w:trPr>
          <w:trHeight w:val="492"/>
        </w:trPr>
        <w:tc>
          <w:tcPr>
            <w:tcW w:w="660" w:type="dxa"/>
            <w:vAlign w:val="bottom"/>
            <w:vMerge w:val="restart"/>
          </w:tcPr>
          <w:p>
            <w:pPr>
              <w:spacing w:after="0"/>
              <w:rPr>
                <w:sz w:val="20"/>
                <w:szCs w:val="20"/>
                <w:color w:val="auto"/>
              </w:rPr>
            </w:pPr>
            <w:r>
              <w:rPr>
                <w:rFonts w:ascii="Times New Roman" w:cs="Times New Roman" w:eastAsia="Times New Roman" w:hAnsi="Times New Roman"/>
                <w:sz w:val="37"/>
                <w:szCs w:val="37"/>
                <w:i w:val="1"/>
                <w:iCs w:val="1"/>
                <w:color w:val="auto"/>
              </w:rPr>
              <w:t xml:space="preserve">C </w:t>
            </w:r>
            <w:r>
              <w:rPr>
                <w:rFonts w:ascii="Symbol" w:cs="Symbol" w:eastAsia="Symbol" w:hAnsi="Symbol"/>
                <w:sz w:val="37"/>
                <w:szCs w:val="37"/>
                <w:color w:val="auto"/>
              </w:rPr>
              <w:t></w:t>
            </w:r>
          </w:p>
        </w:tc>
        <w:tc>
          <w:tcPr>
            <w:tcW w:w="84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37"/>
                <w:szCs w:val="37"/>
                <w:i w:val="1"/>
                <w:iCs w:val="1"/>
                <w:color w:val="auto"/>
                <w:w w:val="97"/>
              </w:rPr>
              <w:t>D</w:t>
            </w:r>
          </w:p>
        </w:tc>
        <w:tc>
          <w:tcPr>
            <w:tcW w:w="400" w:type="dxa"/>
            <w:vAlign w:val="bottom"/>
            <w:vMerge w:val="restart"/>
          </w:tcPr>
          <w:p>
            <w:pPr>
              <w:ind w:left="100"/>
              <w:spacing w:after="0"/>
              <w:rPr>
                <w:sz w:val="20"/>
                <w:szCs w:val="20"/>
                <w:color w:val="auto"/>
              </w:rPr>
            </w:pPr>
            <w:r>
              <w:rPr>
                <w:rFonts w:ascii="Symbol" w:cs="Symbol" w:eastAsia="Symbol" w:hAnsi="Symbol"/>
                <w:sz w:val="37"/>
                <w:szCs w:val="37"/>
                <w:color w:val="auto"/>
              </w:rPr>
              <w:t></w:t>
            </w:r>
          </w:p>
        </w:tc>
        <w:tc>
          <w:tcPr>
            <w:tcW w:w="1640" w:type="dxa"/>
            <w:vAlign w:val="bottom"/>
            <w:tcBorders>
              <w:bottom w:val="single" w:sz="8" w:color="auto"/>
            </w:tcBorders>
          </w:tcPr>
          <w:p>
            <w:pPr>
              <w:jc w:val="right"/>
              <w:ind w:right="256"/>
              <w:spacing w:after="0"/>
              <w:rPr>
                <w:sz w:val="20"/>
                <w:szCs w:val="20"/>
                <w:color w:val="auto"/>
              </w:rPr>
            </w:pPr>
            <w:r>
              <w:rPr>
                <w:rFonts w:ascii="Times New Roman" w:cs="Times New Roman" w:eastAsia="Times New Roman" w:hAnsi="Times New Roman"/>
                <w:sz w:val="37"/>
                <w:szCs w:val="37"/>
                <w:color w:val="auto"/>
              </w:rPr>
              <w:t>5000</w:t>
            </w:r>
          </w:p>
        </w:tc>
        <w:tc>
          <w:tcPr>
            <w:tcW w:w="1780" w:type="dxa"/>
            <w:vAlign w:val="bottom"/>
            <w:vMerge w:val="restart"/>
          </w:tcPr>
          <w:p>
            <w:pPr>
              <w:ind w:left="120"/>
              <w:spacing w:after="0"/>
              <w:rPr>
                <w:sz w:val="20"/>
                <w:szCs w:val="20"/>
                <w:color w:val="auto"/>
              </w:rPr>
            </w:pPr>
            <w:r>
              <w:rPr>
                <w:rFonts w:ascii="Symbol" w:cs="Symbol" w:eastAsia="Symbol" w:hAnsi="Symbol"/>
                <w:sz w:val="37"/>
                <w:szCs w:val="37"/>
                <w:color w:val="auto"/>
                <w:w w:val="97"/>
              </w:rPr>
              <w:t></w:t>
            </w:r>
            <w:r>
              <w:rPr>
                <w:rFonts w:ascii="Times New Roman" w:cs="Times New Roman" w:eastAsia="Times New Roman" w:hAnsi="Times New Roman"/>
                <w:sz w:val="37"/>
                <w:szCs w:val="37"/>
                <w:color w:val="auto"/>
                <w:w w:val="97"/>
              </w:rPr>
              <w:t xml:space="preserve"> 9800руб.</w:t>
            </w:r>
          </w:p>
        </w:tc>
        <w:tc>
          <w:tcPr>
            <w:tcW w:w="0" w:type="dxa"/>
            <w:vAlign w:val="bottom"/>
          </w:tcPr>
          <w:p>
            <w:pPr>
              <w:spacing w:after="0"/>
              <w:rPr>
                <w:sz w:val="1"/>
                <w:szCs w:val="1"/>
                <w:color w:val="auto"/>
              </w:rPr>
            </w:pPr>
          </w:p>
        </w:tc>
      </w:tr>
      <w:tr>
        <w:trPr>
          <w:trHeight w:val="514"/>
        </w:trPr>
        <w:tc>
          <w:tcPr>
            <w:tcW w:w="660" w:type="dxa"/>
            <w:vAlign w:val="bottom"/>
            <w:vMerge w:val="continue"/>
          </w:tcPr>
          <w:p>
            <w:pPr>
              <w:spacing w:after="0"/>
              <w:rPr>
                <w:sz w:val="24"/>
                <w:szCs w:val="24"/>
                <w:color w:val="auto"/>
              </w:rPr>
            </w:pPr>
          </w:p>
        </w:tc>
        <w:tc>
          <w:tcPr>
            <w:tcW w:w="840" w:type="dxa"/>
            <w:vAlign w:val="bottom"/>
          </w:tcPr>
          <w:p>
            <w:pPr>
              <w:jc w:val="center"/>
              <w:spacing w:after="0"/>
              <w:rPr>
                <w:sz w:val="20"/>
                <w:szCs w:val="20"/>
                <w:color w:val="auto"/>
              </w:rPr>
            </w:pPr>
            <w:r>
              <w:rPr>
                <w:rFonts w:ascii="Times New Roman" w:cs="Times New Roman" w:eastAsia="Times New Roman" w:hAnsi="Times New Roman"/>
                <w:sz w:val="37"/>
                <w:szCs w:val="37"/>
                <w:i w:val="1"/>
                <w:iCs w:val="1"/>
                <w:color w:val="auto"/>
                <w:w w:val="89"/>
              </w:rPr>
              <w:t>k</w:t>
            </w:r>
            <w:r>
              <w:rPr>
                <w:rFonts w:ascii="Times New Roman" w:cs="Times New Roman" w:eastAsia="Times New Roman" w:hAnsi="Times New Roman"/>
                <w:sz w:val="37"/>
                <w:szCs w:val="37"/>
                <w:color w:val="auto"/>
                <w:w w:val="89"/>
                <w:vertAlign w:val="subscript"/>
              </w:rPr>
              <w:t>a</w:t>
            </w:r>
            <w:r>
              <w:rPr>
                <w:rFonts w:ascii="Times New Roman" w:cs="Times New Roman" w:eastAsia="Times New Roman" w:hAnsi="Times New Roman"/>
                <w:sz w:val="37"/>
                <w:szCs w:val="37"/>
                <w:i w:val="1"/>
                <w:iCs w:val="1"/>
                <w:color w:val="auto"/>
                <w:w w:val="89"/>
              </w:rPr>
              <w:t xml:space="preserve">  </w:t>
            </w:r>
            <w:r>
              <w:rPr>
                <w:rFonts w:ascii="Symbol" w:cs="Symbol" w:eastAsia="Symbol" w:hAnsi="Symbol"/>
                <w:sz w:val="37"/>
                <w:szCs w:val="37"/>
                <w:color w:val="auto"/>
                <w:w w:val="89"/>
              </w:rPr>
              <w:t></w:t>
            </w:r>
            <w:r>
              <w:rPr>
                <w:rFonts w:ascii="Times New Roman" w:cs="Times New Roman" w:eastAsia="Times New Roman" w:hAnsi="Times New Roman"/>
                <w:sz w:val="37"/>
                <w:szCs w:val="37"/>
                <w:i w:val="1"/>
                <w:iCs w:val="1"/>
                <w:color w:val="auto"/>
                <w:w w:val="89"/>
              </w:rPr>
              <w:t xml:space="preserve"> r</w:t>
            </w:r>
          </w:p>
        </w:tc>
        <w:tc>
          <w:tcPr>
            <w:tcW w:w="400" w:type="dxa"/>
            <w:vAlign w:val="bottom"/>
            <w:vMerge w:val="continue"/>
          </w:tcPr>
          <w:p>
            <w:pPr>
              <w:spacing w:after="0"/>
              <w:rPr>
                <w:sz w:val="24"/>
                <w:szCs w:val="24"/>
                <w:color w:val="auto"/>
              </w:rPr>
            </w:pPr>
          </w:p>
        </w:tc>
        <w:tc>
          <w:tcPr>
            <w:tcW w:w="1640" w:type="dxa"/>
            <w:vAlign w:val="bottom"/>
          </w:tcPr>
          <w:p>
            <w:pPr>
              <w:jc w:val="center"/>
              <w:spacing w:after="0"/>
              <w:rPr>
                <w:sz w:val="20"/>
                <w:szCs w:val="20"/>
                <w:color w:val="auto"/>
              </w:rPr>
            </w:pPr>
            <w:r>
              <w:rPr>
                <w:rFonts w:ascii="Times New Roman" w:cs="Times New Roman" w:eastAsia="Times New Roman" w:hAnsi="Times New Roman"/>
                <w:sz w:val="37"/>
                <w:szCs w:val="37"/>
                <w:color w:val="auto"/>
                <w:w w:val="96"/>
              </w:rPr>
              <w:t xml:space="preserve">0,26 </w:t>
            </w:r>
            <w:r>
              <w:rPr>
                <w:rFonts w:ascii="Symbol" w:cs="Symbol" w:eastAsia="Symbol" w:hAnsi="Symbol"/>
                <w:sz w:val="37"/>
                <w:szCs w:val="37"/>
                <w:color w:val="auto"/>
                <w:w w:val="96"/>
              </w:rPr>
              <w:t></w:t>
            </w:r>
            <w:r>
              <w:rPr>
                <w:rFonts w:ascii="Times New Roman" w:cs="Times New Roman" w:eastAsia="Times New Roman" w:hAnsi="Times New Roman"/>
                <w:sz w:val="37"/>
                <w:szCs w:val="37"/>
                <w:color w:val="auto"/>
                <w:w w:val="96"/>
              </w:rPr>
              <w:t xml:space="preserve"> 0,25</w:t>
            </w:r>
          </w:p>
        </w:tc>
        <w:tc>
          <w:tcPr>
            <w:tcW w:w="1780" w:type="dxa"/>
            <w:vAlign w:val="bottom"/>
            <w:vMerge w:val="continue"/>
          </w:tcPr>
          <w:p>
            <w:pPr>
              <w:spacing w:after="0"/>
              <w:rPr>
                <w:sz w:val="24"/>
                <w:szCs w:val="24"/>
                <w:color w:val="auto"/>
              </w:rPr>
            </w:pPr>
          </w:p>
        </w:tc>
        <w:tc>
          <w:tcPr>
            <w:tcW w:w="0" w:type="dxa"/>
            <w:vAlign w:val="bottom"/>
          </w:tcPr>
          <w:p>
            <w:pPr>
              <w:spacing w:after="0"/>
              <w:rPr>
                <w:sz w:val="1"/>
                <w:szCs w:val="1"/>
                <w:color w:val="auto"/>
              </w:rPr>
            </w:pPr>
          </w:p>
        </w:tc>
      </w:tr>
    </w:tbl>
    <w:p>
      <w:pPr>
        <w:spacing w:after="0" w:line="341" w:lineRule="exact"/>
        <w:rPr>
          <w:sz w:val="20"/>
          <w:szCs w:val="20"/>
          <w:color w:val="auto"/>
        </w:rPr>
      </w:pPr>
    </w:p>
    <w:p>
      <w:pPr>
        <w:jc w:val="both"/>
        <w:ind w:left="260" w:firstLine="720"/>
        <w:spacing w:after="0" w:line="259" w:lineRule="auto"/>
        <w:rPr>
          <w:sz w:val="20"/>
          <w:szCs w:val="20"/>
          <w:color w:val="auto"/>
        </w:rPr>
      </w:pPr>
      <w:r>
        <w:rPr>
          <w:rFonts w:ascii="Times New Roman" w:cs="Times New Roman" w:eastAsia="Times New Roman" w:hAnsi="Times New Roman"/>
          <w:sz w:val="28"/>
          <w:szCs w:val="28"/>
          <w:u w:val="single" w:color="auto"/>
          <w:color w:val="auto"/>
        </w:rPr>
        <w:t>Задача</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u w:val="single" w:color="auto"/>
          <w:color w:val="auto"/>
        </w:rPr>
        <w:t>3.2.3.</w:t>
      </w:r>
      <w:r>
        <w:rPr>
          <w:rFonts w:ascii="Times New Roman" w:cs="Times New Roman" w:eastAsia="Times New Roman" w:hAnsi="Times New Roman"/>
          <w:sz w:val="28"/>
          <w:szCs w:val="28"/>
          <w:color w:val="auto"/>
        </w:rPr>
        <w:t xml:space="preserve"> Требуется определить стоимость автобуса «Мерседес», который будет эксплуатироваться на международных пассажирских перевозках. Ставка дисконта для данного бизнеса составляет 0,25. Ниже</w:t>
      </w:r>
    </w:p>
    <w:p>
      <w:pPr>
        <w:spacing w:after="0" w:line="4" w:lineRule="exact"/>
        <w:rPr>
          <w:sz w:val="20"/>
          <w:szCs w:val="20"/>
          <w:color w:val="auto"/>
        </w:rPr>
      </w:pPr>
    </w:p>
    <w:tbl>
      <w:tblPr>
        <w:tblLayout w:type="fixed"/>
        <w:tblInd w:w="270" w:type="dxa"/>
        <w:tblCellMar>
          <w:top w:w="0" w:type="dxa"/>
          <w:left w:w="0" w:type="dxa"/>
          <w:bottom w:w="0" w:type="dxa"/>
          <w:right w:w="0" w:type="dxa"/>
        </w:tblCellMar>
      </w:tblPr>
      <w:tr>
        <w:trPr>
          <w:trHeight w:val="349"/>
        </w:trPr>
        <w:tc>
          <w:tcPr>
            <w:tcW w:w="8060" w:type="dxa"/>
            <w:vAlign w:val="bottom"/>
            <w:gridSpan w:val="4"/>
          </w:tcPr>
          <w:p>
            <w:pPr>
              <w:spacing w:after="0"/>
              <w:rPr>
                <w:sz w:val="20"/>
                <w:szCs w:val="20"/>
                <w:color w:val="auto"/>
              </w:rPr>
            </w:pPr>
            <w:r>
              <w:rPr>
                <w:rFonts w:ascii="Times New Roman" w:cs="Times New Roman" w:eastAsia="Times New Roman" w:hAnsi="Times New Roman"/>
                <w:sz w:val="28"/>
                <w:szCs w:val="28"/>
                <w:color w:val="auto"/>
              </w:rPr>
              <w:t>приводятся эксплуатационные показатели оцениваемого автобуса.</w:t>
            </w:r>
          </w:p>
        </w:tc>
        <w:tc>
          <w:tcPr>
            <w:tcW w:w="1320" w:type="dxa"/>
            <w:vAlign w:val="bottom"/>
          </w:tcPr>
          <w:p>
            <w:pPr>
              <w:spacing w:after="0"/>
              <w:rPr>
                <w:sz w:val="24"/>
                <w:szCs w:val="24"/>
                <w:color w:val="auto"/>
              </w:rPr>
            </w:pPr>
          </w:p>
        </w:tc>
      </w:tr>
      <w:tr>
        <w:trPr>
          <w:trHeight w:val="367"/>
        </w:trPr>
        <w:tc>
          <w:tcPr>
            <w:tcW w:w="72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6220" w:type="dxa"/>
            <w:vAlign w:val="bottom"/>
            <w:tcBorders>
              <w:bottom w:val="single" w:sz="8" w:color="auto"/>
            </w:tcBorders>
            <w:gridSpan w:val="2"/>
          </w:tcPr>
          <w:p>
            <w:pPr>
              <w:ind w:left="440"/>
              <w:spacing w:after="0"/>
              <w:rPr>
                <w:sz w:val="20"/>
                <w:szCs w:val="20"/>
                <w:color w:val="auto"/>
              </w:rPr>
            </w:pPr>
            <w:r>
              <w:rPr>
                <w:rFonts w:ascii="Times New Roman" w:cs="Times New Roman" w:eastAsia="Times New Roman" w:hAnsi="Times New Roman"/>
                <w:sz w:val="28"/>
                <w:szCs w:val="28"/>
                <w:color w:val="auto"/>
              </w:rPr>
              <w:t>Эксплуатационные показатели автобуса</w:t>
            </w:r>
          </w:p>
        </w:tc>
        <w:tc>
          <w:tcPr>
            <w:tcW w:w="1320" w:type="dxa"/>
            <w:vAlign w:val="bottom"/>
            <w:tcBorders>
              <w:bottom w:val="single" w:sz="8" w:color="auto"/>
            </w:tcBorders>
          </w:tcPr>
          <w:p>
            <w:pPr>
              <w:spacing w:after="0"/>
              <w:rPr>
                <w:sz w:val="24"/>
                <w:szCs w:val="24"/>
                <w:color w:val="auto"/>
              </w:rPr>
            </w:pPr>
          </w:p>
        </w:tc>
      </w:tr>
      <w:tr>
        <w:trPr>
          <w:trHeight w:val="348"/>
        </w:trPr>
        <w:tc>
          <w:tcPr>
            <w:tcW w:w="7660" w:type="dxa"/>
            <w:vAlign w:val="bottom"/>
            <w:tcBorders>
              <w:left w:val="single" w:sz="8" w:color="auto"/>
              <w:bottom w:val="single" w:sz="8" w:color="auto"/>
              <w:right w:val="single" w:sz="8" w:color="auto"/>
            </w:tcBorders>
            <w:gridSpan w:val="3"/>
          </w:tcPr>
          <w:p>
            <w:pPr>
              <w:ind w:left="40"/>
              <w:spacing w:after="0"/>
              <w:rPr>
                <w:sz w:val="20"/>
                <w:szCs w:val="20"/>
                <w:color w:val="auto"/>
              </w:rPr>
            </w:pPr>
            <w:r>
              <w:rPr>
                <w:rFonts w:ascii="Times New Roman" w:cs="Times New Roman" w:eastAsia="Times New Roman" w:hAnsi="Times New Roman"/>
                <w:sz w:val="28"/>
                <w:szCs w:val="28"/>
                <w:color w:val="auto"/>
              </w:rPr>
              <w:t>Средний годовой пробег, тыс. км</w:t>
            </w:r>
          </w:p>
        </w:tc>
        <w:tc>
          <w:tcPr>
            <w:tcW w:w="400" w:type="dxa"/>
            <w:vAlign w:val="bottom"/>
            <w:tcBorders>
              <w:bottom w:val="single" w:sz="8" w:color="auto"/>
            </w:tcBorders>
          </w:tcPr>
          <w:p>
            <w:pPr>
              <w:spacing w:after="0"/>
              <w:rPr>
                <w:sz w:val="24"/>
                <w:szCs w:val="24"/>
                <w:color w:val="auto"/>
              </w:rPr>
            </w:pPr>
          </w:p>
        </w:tc>
        <w:tc>
          <w:tcPr>
            <w:tcW w:w="1320" w:type="dxa"/>
            <w:vAlign w:val="bottom"/>
            <w:tcBorders>
              <w:bottom w:val="single" w:sz="8" w:color="auto"/>
              <w:right w:val="single" w:sz="8" w:color="auto"/>
            </w:tcBorders>
          </w:tcPr>
          <w:p>
            <w:pPr>
              <w:jc w:val="center"/>
              <w:ind w:right="280"/>
              <w:spacing w:after="0"/>
              <w:rPr>
                <w:sz w:val="20"/>
                <w:szCs w:val="20"/>
                <w:color w:val="auto"/>
              </w:rPr>
            </w:pPr>
            <w:r>
              <w:rPr>
                <w:rFonts w:ascii="Times New Roman" w:cs="Times New Roman" w:eastAsia="Times New Roman" w:hAnsi="Times New Roman"/>
                <w:sz w:val="28"/>
                <w:szCs w:val="28"/>
                <w:color w:val="auto"/>
                <w:w w:val="99"/>
              </w:rPr>
              <w:t>180</w:t>
            </w:r>
          </w:p>
        </w:tc>
      </w:tr>
      <w:tr>
        <w:trPr>
          <w:trHeight w:val="344"/>
        </w:trPr>
        <w:tc>
          <w:tcPr>
            <w:tcW w:w="7660" w:type="dxa"/>
            <w:vAlign w:val="bottom"/>
            <w:tcBorders>
              <w:left w:val="single" w:sz="8" w:color="auto"/>
              <w:bottom w:val="single" w:sz="8" w:color="auto"/>
              <w:right w:val="single" w:sz="8" w:color="auto"/>
            </w:tcBorders>
            <w:gridSpan w:val="3"/>
          </w:tcPr>
          <w:p>
            <w:pPr>
              <w:ind w:left="40"/>
              <w:spacing w:after="0"/>
              <w:rPr>
                <w:sz w:val="20"/>
                <w:szCs w:val="20"/>
                <w:color w:val="auto"/>
              </w:rPr>
            </w:pPr>
            <w:r>
              <w:rPr>
                <w:rFonts w:ascii="Times New Roman" w:cs="Times New Roman" w:eastAsia="Times New Roman" w:hAnsi="Times New Roman"/>
                <w:sz w:val="28"/>
                <w:szCs w:val="28"/>
                <w:color w:val="auto"/>
              </w:rPr>
              <w:t>Средний годовой объем транспортной работы, тыс. пас км</w:t>
            </w:r>
          </w:p>
        </w:tc>
        <w:tc>
          <w:tcPr>
            <w:tcW w:w="400" w:type="dxa"/>
            <w:vAlign w:val="bottom"/>
            <w:tcBorders>
              <w:bottom w:val="single" w:sz="8" w:color="auto"/>
            </w:tcBorders>
          </w:tcPr>
          <w:p>
            <w:pPr>
              <w:spacing w:after="0"/>
              <w:rPr>
                <w:sz w:val="24"/>
                <w:szCs w:val="24"/>
                <w:color w:val="auto"/>
              </w:rPr>
            </w:pPr>
          </w:p>
        </w:tc>
        <w:tc>
          <w:tcPr>
            <w:tcW w:w="1320" w:type="dxa"/>
            <w:vAlign w:val="bottom"/>
            <w:tcBorders>
              <w:bottom w:val="single" w:sz="8" w:color="auto"/>
              <w:right w:val="single" w:sz="8" w:color="auto"/>
            </w:tcBorders>
          </w:tcPr>
          <w:p>
            <w:pPr>
              <w:jc w:val="center"/>
              <w:ind w:right="300"/>
              <w:spacing w:after="0"/>
              <w:rPr>
                <w:sz w:val="20"/>
                <w:szCs w:val="20"/>
                <w:color w:val="auto"/>
              </w:rPr>
            </w:pPr>
            <w:r>
              <w:rPr>
                <w:rFonts w:ascii="Times New Roman" w:cs="Times New Roman" w:eastAsia="Times New Roman" w:hAnsi="Times New Roman"/>
                <w:sz w:val="28"/>
                <w:szCs w:val="28"/>
                <w:color w:val="auto"/>
                <w:w w:val="99"/>
              </w:rPr>
              <w:t>7776</w:t>
            </w:r>
          </w:p>
        </w:tc>
      </w:tr>
      <w:tr>
        <w:trPr>
          <w:trHeight w:val="322"/>
        </w:trPr>
        <w:tc>
          <w:tcPr>
            <w:tcW w:w="7660" w:type="dxa"/>
            <w:vAlign w:val="bottom"/>
            <w:tcBorders>
              <w:left w:val="single" w:sz="8" w:color="auto"/>
              <w:right w:val="single" w:sz="8" w:color="auto"/>
            </w:tcBorders>
            <w:gridSpan w:val="3"/>
          </w:tcPr>
          <w:p>
            <w:pPr>
              <w:ind w:left="40"/>
              <w:spacing w:after="0"/>
              <w:rPr>
                <w:sz w:val="20"/>
                <w:szCs w:val="20"/>
                <w:color w:val="auto"/>
              </w:rPr>
            </w:pPr>
            <w:r>
              <w:rPr>
                <w:rFonts w:ascii="Times New Roman" w:cs="Times New Roman" w:eastAsia="Times New Roman" w:hAnsi="Times New Roman"/>
                <w:sz w:val="28"/>
                <w:szCs w:val="28"/>
                <w:color w:val="auto"/>
              </w:rPr>
              <w:t>Тариф на перевозку (без НДС) при среднем расстоянии одной</w:t>
            </w:r>
          </w:p>
        </w:tc>
        <w:tc>
          <w:tcPr>
            <w:tcW w:w="400" w:type="dxa"/>
            <w:vAlign w:val="bottom"/>
          </w:tcPr>
          <w:p>
            <w:pPr>
              <w:spacing w:after="0"/>
              <w:rPr>
                <w:sz w:val="24"/>
                <w:szCs w:val="24"/>
                <w:color w:val="auto"/>
              </w:rPr>
            </w:pPr>
          </w:p>
        </w:tc>
        <w:tc>
          <w:tcPr>
            <w:tcW w:w="1320" w:type="dxa"/>
            <w:vAlign w:val="bottom"/>
            <w:tcBorders>
              <w:right w:val="single" w:sz="8" w:color="auto"/>
            </w:tcBorders>
          </w:tcPr>
          <w:p>
            <w:pPr>
              <w:jc w:val="center"/>
              <w:ind w:right="280"/>
              <w:spacing w:after="0"/>
              <w:rPr>
                <w:sz w:val="20"/>
                <w:szCs w:val="20"/>
                <w:color w:val="auto"/>
              </w:rPr>
            </w:pPr>
            <w:r>
              <w:rPr>
                <w:rFonts w:ascii="Times New Roman" w:cs="Times New Roman" w:eastAsia="Times New Roman" w:hAnsi="Times New Roman"/>
                <w:sz w:val="28"/>
                <w:szCs w:val="28"/>
                <w:color w:val="auto"/>
                <w:w w:val="98"/>
              </w:rPr>
              <w:t>0,036</w:t>
            </w:r>
          </w:p>
        </w:tc>
      </w:tr>
      <w:tr>
        <w:trPr>
          <w:trHeight w:val="367"/>
        </w:trPr>
        <w:tc>
          <w:tcPr>
            <w:tcW w:w="7660" w:type="dxa"/>
            <w:vAlign w:val="bottom"/>
            <w:tcBorders>
              <w:left w:val="single" w:sz="8" w:color="auto"/>
              <w:bottom w:val="single" w:sz="8" w:color="auto"/>
              <w:right w:val="single" w:sz="8" w:color="auto"/>
            </w:tcBorders>
            <w:gridSpan w:val="3"/>
          </w:tcPr>
          <w:p>
            <w:pPr>
              <w:ind w:left="40"/>
              <w:spacing w:after="0"/>
              <w:rPr>
                <w:sz w:val="20"/>
                <w:szCs w:val="20"/>
                <w:color w:val="auto"/>
              </w:rPr>
            </w:pPr>
            <w:r>
              <w:rPr>
                <w:rFonts w:ascii="Times New Roman" w:cs="Times New Roman" w:eastAsia="Times New Roman" w:hAnsi="Times New Roman"/>
                <w:sz w:val="28"/>
                <w:szCs w:val="28"/>
                <w:color w:val="auto"/>
              </w:rPr>
              <w:t>перевозки 167 км, руб./пас км</w:t>
            </w:r>
          </w:p>
        </w:tc>
        <w:tc>
          <w:tcPr>
            <w:tcW w:w="400" w:type="dxa"/>
            <w:vAlign w:val="bottom"/>
            <w:tcBorders>
              <w:bottom w:val="single" w:sz="8" w:color="auto"/>
            </w:tcBorders>
          </w:tcPr>
          <w:p>
            <w:pPr>
              <w:spacing w:after="0"/>
              <w:rPr>
                <w:sz w:val="24"/>
                <w:szCs w:val="24"/>
                <w:color w:val="auto"/>
              </w:rPr>
            </w:pPr>
          </w:p>
        </w:tc>
        <w:tc>
          <w:tcPr>
            <w:tcW w:w="1320" w:type="dxa"/>
            <w:vAlign w:val="bottom"/>
            <w:tcBorders>
              <w:bottom w:val="single" w:sz="8" w:color="auto"/>
              <w:right w:val="single" w:sz="8" w:color="auto"/>
            </w:tcBorders>
          </w:tcPr>
          <w:p>
            <w:pPr>
              <w:spacing w:after="0"/>
              <w:rPr>
                <w:sz w:val="24"/>
                <w:szCs w:val="24"/>
                <w:color w:val="auto"/>
              </w:rPr>
            </w:pPr>
          </w:p>
        </w:tc>
      </w:tr>
      <w:tr>
        <w:trPr>
          <w:trHeight w:val="326"/>
        </w:trPr>
        <w:tc>
          <w:tcPr>
            <w:tcW w:w="7660" w:type="dxa"/>
            <w:vAlign w:val="bottom"/>
            <w:tcBorders>
              <w:left w:val="single" w:sz="8" w:color="auto"/>
              <w:right w:val="single" w:sz="8" w:color="auto"/>
            </w:tcBorders>
            <w:gridSpan w:val="3"/>
          </w:tcPr>
          <w:p>
            <w:pPr>
              <w:ind w:left="40"/>
              <w:spacing w:after="0"/>
              <w:rPr>
                <w:sz w:val="20"/>
                <w:szCs w:val="20"/>
                <w:color w:val="auto"/>
              </w:rPr>
            </w:pPr>
            <w:r>
              <w:rPr>
                <w:rFonts w:ascii="Times New Roman" w:cs="Times New Roman" w:eastAsia="Times New Roman" w:hAnsi="Times New Roman"/>
                <w:sz w:val="28"/>
                <w:szCs w:val="28"/>
                <w:color w:val="auto"/>
              </w:rPr>
              <w:t>Себестоимость  транспортной  работы  (без  амортизации),</w:t>
            </w:r>
          </w:p>
        </w:tc>
        <w:tc>
          <w:tcPr>
            <w:tcW w:w="400" w:type="dxa"/>
            <w:vAlign w:val="bottom"/>
          </w:tcPr>
          <w:p>
            <w:pPr>
              <w:spacing w:after="0"/>
              <w:rPr>
                <w:sz w:val="24"/>
                <w:szCs w:val="24"/>
                <w:color w:val="auto"/>
              </w:rPr>
            </w:pPr>
          </w:p>
        </w:tc>
        <w:tc>
          <w:tcPr>
            <w:tcW w:w="1320" w:type="dxa"/>
            <w:vAlign w:val="bottom"/>
            <w:tcBorders>
              <w:right w:val="single" w:sz="8" w:color="auto"/>
            </w:tcBorders>
          </w:tcPr>
          <w:p>
            <w:pPr>
              <w:jc w:val="center"/>
              <w:ind w:right="280"/>
              <w:spacing w:after="0"/>
              <w:rPr>
                <w:sz w:val="20"/>
                <w:szCs w:val="20"/>
                <w:color w:val="auto"/>
              </w:rPr>
            </w:pPr>
            <w:r>
              <w:rPr>
                <w:rFonts w:ascii="Times New Roman" w:cs="Times New Roman" w:eastAsia="Times New Roman" w:hAnsi="Times New Roman"/>
                <w:sz w:val="28"/>
                <w:szCs w:val="28"/>
                <w:color w:val="auto"/>
                <w:w w:val="98"/>
              </w:rPr>
              <w:t>0,032</w:t>
            </w:r>
          </w:p>
        </w:tc>
      </w:tr>
      <w:tr>
        <w:trPr>
          <w:trHeight w:val="367"/>
        </w:trPr>
        <w:tc>
          <w:tcPr>
            <w:tcW w:w="7660" w:type="dxa"/>
            <w:vAlign w:val="bottom"/>
            <w:tcBorders>
              <w:left w:val="single" w:sz="8" w:color="auto"/>
              <w:bottom w:val="single" w:sz="8" w:color="auto"/>
              <w:right w:val="single" w:sz="8" w:color="auto"/>
            </w:tcBorders>
            <w:gridSpan w:val="3"/>
          </w:tcPr>
          <w:p>
            <w:pPr>
              <w:ind w:left="40"/>
              <w:spacing w:after="0"/>
              <w:rPr>
                <w:sz w:val="20"/>
                <w:szCs w:val="20"/>
                <w:color w:val="auto"/>
              </w:rPr>
            </w:pPr>
            <w:r>
              <w:rPr>
                <w:rFonts w:ascii="Times New Roman" w:cs="Times New Roman" w:eastAsia="Times New Roman" w:hAnsi="Times New Roman"/>
                <w:sz w:val="28"/>
                <w:szCs w:val="28"/>
                <w:color w:val="auto"/>
              </w:rPr>
              <w:t>руб./пас-км</w:t>
            </w:r>
          </w:p>
        </w:tc>
        <w:tc>
          <w:tcPr>
            <w:tcW w:w="400" w:type="dxa"/>
            <w:vAlign w:val="bottom"/>
            <w:tcBorders>
              <w:bottom w:val="single" w:sz="8" w:color="auto"/>
            </w:tcBorders>
          </w:tcPr>
          <w:p>
            <w:pPr>
              <w:spacing w:after="0"/>
              <w:rPr>
                <w:sz w:val="24"/>
                <w:szCs w:val="24"/>
                <w:color w:val="auto"/>
              </w:rPr>
            </w:pPr>
          </w:p>
        </w:tc>
        <w:tc>
          <w:tcPr>
            <w:tcW w:w="1320" w:type="dxa"/>
            <w:vAlign w:val="bottom"/>
            <w:tcBorders>
              <w:bottom w:val="single" w:sz="8" w:color="auto"/>
              <w:right w:val="single" w:sz="8" w:color="auto"/>
            </w:tcBorders>
          </w:tcPr>
          <w:p>
            <w:pPr>
              <w:spacing w:after="0"/>
              <w:rPr>
                <w:sz w:val="24"/>
                <w:szCs w:val="24"/>
                <w:color w:val="auto"/>
              </w:rPr>
            </w:pPr>
          </w:p>
        </w:tc>
      </w:tr>
      <w:tr>
        <w:trPr>
          <w:trHeight w:val="348"/>
        </w:trPr>
        <w:tc>
          <w:tcPr>
            <w:tcW w:w="7660" w:type="dxa"/>
            <w:vAlign w:val="bottom"/>
            <w:tcBorders>
              <w:left w:val="single" w:sz="8" w:color="auto"/>
              <w:bottom w:val="single" w:sz="8" w:color="auto"/>
              <w:right w:val="single" w:sz="8" w:color="auto"/>
            </w:tcBorders>
            <w:gridSpan w:val="3"/>
          </w:tcPr>
          <w:p>
            <w:pPr>
              <w:ind w:left="40"/>
              <w:spacing w:after="0"/>
              <w:rPr>
                <w:sz w:val="20"/>
                <w:szCs w:val="20"/>
                <w:color w:val="auto"/>
              </w:rPr>
            </w:pPr>
            <w:r>
              <w:rPr>
                <w:rFonts w:ascii="Times New Roman" w:cs="Times New Roman" w:eastAsia="Times New Roman" w:hAnsi="Times New Roman"/>
                <w:sz w:val="28"/>
                <w:szCs w:val="28"/>
                <w:color w:val="auto"/>
              </w:rPr>
              <w:t>Срок службы автобуса, лет</w:t>
            </w:r>
          </w:p>
        </w:tc>
        <w:tc>
          <w:tcPr>
            <w:tcW w:w="400" w:type="dxa"/>
            <w:vAlign w:val="bottom"/>
            <w:tcBorders>
              <w:bottom w:val="single" w:sz="8" w:color="auto"/>
            </w:tcBorders>
          </w:tcPr>
          <w:p>
            <w:pPr>
              <w:spacing w:after="0"/>
              <w:rPr>
                <w:sz w:val="24"/>
                <w:szCs w:val="24"/>
                <w:color w:val="auto"/>
              </w:rPr>
            </w:pPr>
          </w:p>
        </w:tc>
        <w:tc>
          <w:tcPr>
            <w:tcW w:w="1320" w:type="dxa"/>
            <w:vAlign w:val="bottom"/>
            <w:tcBorders>
              <w:bottom w:val="single" w:sz="8" w:color="auto"/>
              <w:right w:val="single" w:sz="8" w:color="auto"/>
            </w:tcBorders>
          </w:tcPr>
          <w:p>
            <w:pPr>
              <w:jc w:val="center"/>
              <w:ind w:right="280"/>
              <w:spacing w:after="0"/>
              <w:rPr>
                <w:sz w:val="20"/>
                <w:szCs w:val="20"/>
                <w:color w:val="auto"/>
              </w:rPr>
            </w:pPr>
            <w:r>
              <w:rPr>
                <w:rFonts w:ascii="Times New Roman" w:cs="Times New Roman" w:eastAsia="Times New Roman" w:hAnsi="Times New Roman"/>
                <w:sz w:val="28"/>
                <w:szCs w:val="28"/>
                <w:color w:val="auto"/>
                <w:w w:val="99"/>
              </w:rPr>
              <w:t>6</w:t>
            </w:r>
          </w:p>
        </w:tc>
      </w:tr>
      <w:tr>
        <w:trPr>
          <w:trHeight w:val="322"/>
        </w:trPr>
        <w:tc>
          <w:tcPr>
            <w:tcW w:w="7660" w:type="dxa"/>
            <w:vAlign w:val="bottom"/>
            <w:tcBorders>
              <w:left w:val="single" w:sz="8" w:color="auto"/>
              <w:right w:val="single" w:sz="8" w:color="auto"/>
            </w:tcBorders>
            <w:gridSpan w:val="3"/>
          </w:tcPr>
          <w:p>
            <w:pPr>
              <w:ind w:left="40"/>
              <w:spacing w:after="0"/>
              <w:rPr>
                <w:sz w:val="20"/>
                <w:szCs w:val="20"/>
                <w:color w:val="auto"/>
              </w:rPr>
            </w:pPr>
            <w:r>
              <w:rPr>
                <w:rFonts w:ascii="Times New Roman" w:cs="Times New Roman" w:eastAsia="Times New Roman" w:hAnsi="Times New Roman"/>
                <w:sz w:val="28"/>
                <w:szCs w:val="28"/>
                <w:color w:val="auto"/>
              </w:rPr>
              <w:t>Стоимость здания (гараж и ремонтное хозяйство) на автобус,</w:t>
            </w:r>
          </w:p>
        </w:tc>
        <w:tc>
          <w:tcPr>
            <w:tcW w:w="400" w:type="dxa"/>
            <w:vAlign w:val="bottom"/>
          </w:tcPr>
          <w:p>
            <w:pPr>
              <w:spacing w:after="0"/>
              <w:rPr>
                <w:sz w:val="24"/>
                <w:szCs w:val="24"/>
                <w:color w:val="auto"/>
              </w:rPr>
            </w:pPr>
          </w:p>
        </w:tc>
        <w:tc>
          <w:tcPr>
            <w:tcW w:w="1320" w:type="dxa"/>
            <w:vAlign w:val="bottom"/>
            <w:tcBorders>
              <w:right w:val="single" w:sz="8" w:color="auto"/>
            </w:tcBorders>
          </w:tcPr>
          <w:p>
            <w:pPr>
              <w:jc w:val="center"/>
              <w:ind w:right="280"/>
              <w:spacing w:after="0"/>
              <w:rPr>
                <w:sz w:val="20"/>
                <w:szCs w:val="20"/>
                <w:color w:val="auto"/>
              </w:rPr>
            </w:pPr>
            <w:r>
              <w:rPr>
                <w:rFonts w:ascii="Times New Roman" w:cs="Times New Roman" w:eastAsia="Times New Roman" w:hAnsi="Times New Roman"/>
                <w:sz w:val="28"/>
                <w:szCs w:val="28"/>
                <w:color w:val="auto"/>
                <w:w w:val="99"/>
              </w:rPr>
              <w:t>20000</w:t>
            </w:r>
          </w:p>
        </w:tc>
      </w:tr>
      <w:tr>
        <w:trPr>
          <w:trHeight w:val="367"/>
        </w:trPr>
        <w:tc>
          <w:tcPr>
            <w:tcW w:w="7660" w:type="dxa"/>
            <w:vAlign w:val="bottom"/>
            <w:tcBorders>
              <w:left w:val="single" w:sz="8" w:color="auto"/>
              <w:bottom w:val="single" w:sz="8" w:color="auto"/>
              <w:right w:val="single" w:sz="8" w:color="auto"/>
            </w:tcBorders>
            <w:gridSpan w:val="3"/>
          </w:tcPr>
          <w:p>
            <w:pPr>
              <w:ind w:left="40"/>
              <w:spacing w:after="0"/>
              <w:rPr>
                <w:sz w:val="20"/>
                <w:szCs w:val="20"/>
                <w:color w:val="auto"/>
              </w:rPr>
            </w:pPr>
            <w:r>
              <w:rPr>
                <w:rFonts w:ascii="Times New Roman" w:cs="Times New Roman" w:eastAsia="Times New Roman" w:hAnsi="Times New Roman"/>
                <w:sz w:val="28"/>
                <w:szCs w:val="28"/>
                <w:color w:val="auto"/>
              </w:rPr>
              <w:t>руб.</w:t>
            </w:r>
          </w:p>
        </w:tc>
        <w:tc>
          <w:tcPr>
            <w:tcW w:w="400" w:type="dxa"/>
            <w:vAlign w:val="bottom"/>
            <w:tcBorders>
              <w:bottom w:val="single" w:sz="8" w:color="auto"/>
            </w:tcBorders>
          </w:tcPr>
          <w:p>
            <w:pPr>
              <w:spacing w:after="0"/>
              <w:rPr>
                <w:sz w:val="24"/>
                <w:szCs w:val="24"/>
                <w:color w:val="auto"/>
              </w:rPr>
            </w:pPr>
          </w:p>
        </w:tc>
        <w:tc>
          <w:tcPr>
            <w:tcW w:w="1320" w:type="dxa"/>
            <w:vAlign w:val="bottom"/>
            <w:tcBorders>
              <w:bottom w:val="single" w:sz="8" w:color="auto"/>
              <w:right w:val="single" w:sz="8" w:color="auto"/>
            </w:tcBorders>
          </w:tcPr>
          <w:p>
            <w:pPr>
              <w:spacing w:after="0"/>
              <w:rPr>
                <w:sz w:val="24"/>
                <w:szCs w:val="24"/>
                <w:color w:val="auto"/>
              </w:rPr>
            </w:pPr>
          </w:p>
        </w:tc>
      </w:tr>
      <w:tr>
        <w:trPr>
          <w:trHeight w:val="636"/>
        </w:trPr>
        <w:tc>
          <w:tcPr>
            <w:tcW w:w="720" w:type="dxa"/>
            <w:vAlign w:val="bottom"/>
          </w:tcPr>
          <w:p>
            <w:pPr>
              <w:spacing w:after="0"/>
              <w:rPr>
                <w:sz w:val="24"/>
                <w:szCs w:val="24"/>
                <w:color w:val="auto"/>
              </w:rPr>
            </w:pPr>
          </w:p>
        </w:tc>
        <w:tc>
          <w:tcPr>
            <w:tcW w:w="1120" w:type="dxa"/>
            <w:vAlign w:val="bottom"/>
            <w:tcBorders>
              <w:bottom w:val="single" w:sz="8" w:color="auto"/>
            </w:tcBorders>
          </w:tcPr>
          <w:p>
            <w:pPr>
              <w:spacing w:after="0"/>
              <w:rPr>
                <w:sz w:val="20"/>
                <w:szCs w:val="20"/>
                <w:color w:val="auto"/>
              </w:rPr>
            </w:pPr>
            <w:r>
              <w:rPr>
                <w:rFonts w:ascii="Times New Roman" w:cs="Times New Roman" w:eastAsia="Times New Roman" w:hAnsi="Times New Roman"/>
                <w:sz w:val="28"/>
                <w:szCs w:val="28"/>
                <w:color w:val="auto"/>
                <w:w w:val="98"/>
              </w:rPr>
              <w:t>Решение.</w:t>
            </w:r>
          </w:p>
        </w:tc>
        <w:tc>
          <w:tcPr>
            <w:tcW w:w="6220" w:type="dxa"/>
            <w:vAlign w:val="bottom"/>
            <w:gridSpan w:val="2"/>
          </w:tcPr>
          <w:p>
            <w:pPr>
              <w:spacing w:after="0"/>
              <w:rPr>
                <w:sz w:val="24"/>
                <w:szCs w:val="24"/>
                <w:color w:val="auto"/>
              </w:rPr>
            </w:pPr>
          </w:p>
        </w:tc>
        <w:tc>
          <w:tcPr>
            <w:tcW w:w="1320" w:type="dxa"/>
            <w:vAlign w:val="bottom"/>
          </w:tcPr>
          <w:p>
            <w:pPr>
              <w:spacing w:after="0"/>
              <w:rPr>
                <w:sz w:val="24"/>
                <w:szCs w:val="24"/>
                <w:color w:val="auto"/>
              </w:rPr>
            </w:pPr>
          </w:p>
        </w:tc>
      </w:tr>
      <w:tr>
        <w:trPr>
          <w:trHeight w:val="382"/>
        </w:trPr>
        <w:tc>
          <w:tcPr>
            <w:tcW w:w="720" w:type="dxa"/>
            <w:vAlign w:val="bottom"/>
          </w:tcPr>
          <w:p>
            <w:pPr>
              <w:spacing w:after="0"/>
              <w:rPr>
                <w:sz w:val="24"/>
                <w:szCs w:val="24"/>
                <w:color w:val="auto"/>
              </w:rPr>
            </w:pPr>
          </w:p>
        </w:tc>
        <w:tc>
          <w:tcPr>
            <w:tcW w:w="7340" w:type="dxa"/>
            <w:vAlign w:val="bottom"/>
            <w:gridSpan w:val="3"/>
          </w:tcPr>
          <w:p>
            <w:pPr>
              <w:spacing w:after="0"/>
              <w:rPr>
                <w:sz w:val="20"/>
                <w:szCs w:val="20"/>
                <w:color w:val="auto"/>
              </w:rPr>
            </w:pPr>
            <w:r>
              <w:rPr>
                <w:rFonts w:ascii="Times New Roman" w:cs="Times New Roman" w:eastAsia="Times New Roman" w:hAnsi="Times New Roman"/>
                <w:sz w:val="28"/>
                <w:szCs w:val="28"/>
                <w:color w:val="auto"/>
              </w:rPr>
              <w:t>Определяем выручку за год:</w:t>
            </w:r>
          </w:p>
        </w:tc>
        <w:tc>
          <w:tcPr>
            <w:tcW w:w="1320" w:type="dxa"/>
            <w:vAlign w:val="bottom"/>
          </w:tcPr>
          <w:p>
            <w:pPr>
              <w:spacing w:after="0"/>
              <w:rPr>
                <w:sz w:val="24"/>
                <w:szCs w:val="24"/>
                <w:color w:val="auto"/>
              </w:rPr>
            </w:pPr>
          </w:p>
        </w:tc>
      </w:tr>
      <w:tr>
        <w:trPr>
          <w:trHeight w:val="698"/>
        </w:trPr>
        <w:tc>
          <w:tcPr>
            <w:tcW w:w="720" w:type="dxa"/>
            <w:vAlign w:val="bottom"/>
          </w:tcPr>
          <w:p>
            <w:pPr>
              <w:spacing w:after="0"/>
              <w:rPr>
                <w:sz w:val="24"/>
                <w:szCs w:val="24"/>
                <w:color w:val="auto"/>
              </w:rPr>
            </w:pPr>
          </w:p>
        </w:tc>
        <w:tc>
          <w:tcPr>
            <w:tcW w:w="7340" w:type="dxa"/>
            <w:vAlign w:val="bottom"/>
            <w:gridSpan w:val="3"/>
          </w:tcPr>
          <w:p>
            <w:pPr>
              <w:spacing w:after="0"/>
              <w:rPr>
                <w:sz w:val="20"/>
                <w:szCs w:val="20"/>
                <w:color w:val="auto"/>
              </w:rPr>
            </w:pPr>
            <w:r>
              <w:rPr>
                <w:rFonts w:ascii="Times New Roman" w:cs="Times New Roman" w:eastAsia="Times New Roman" w:hAnsi="Times New Roman"/>
                <w:sz w:val="28"/>
                <w:szCs w:val="28"/>
                <w:color w:val="auto"/>
              </w:rPr>
              <w:t>0,036 руб./пас · км · 7 776 000 пас км = 279 936 руб.</w:t>
            </w:r>
          </w:p>
        </w:tc>
        <w:tc>
          <w:tcPr>
            <w:tcW w:w="1320" w:type="dxa"/>
            <w:vAlign w:val="bottom"/>
          </w:tcPr>
          <w:p>
            <w:pPr>
              <w:spacing w:after="0"/>
              <w:rPr>
                <w:sz w:val="24"/>
                <w:szCs w:val="24"/>
                <w:color w:val="auto"/>
              </w:rPr>
            </w:pPr>
          </w:p>
        </w:tc>
      </w:tr>
      <w:tr>
        <w:trPr>
          <w:trHeight w:val="697"/>
        </w:trPr>
        <w:tc>
          <w:tcPr>
            <w:tcW w:w="720" w:type="dxa"/>
            <w:vAlign w:val="bottom"/>
          </w:tcPr>
          <w:p>
            <w:pPr>
              <w:spacing w:after="0"/>
              <w:rPr>
                <w:sz w:val="24"/>
                <w:szCs w:val="24"/>
                <w:color w:val="auto"/>
              </w:rPr>
            </w:pPr>
          </w:p>
        </w:tc>
        <w:tc>
          <w:tcPr>
            <w:tcW w:w="7340" w:type="dxa"/>
            <w:vAlign w:val="bottom"/>
            <w:gridSpan w:val="3"/>
          </w:tcPr>
          <w:p>
            <w:pPr>
              <w:spacing w:after="0"/>
              <w:rPr>
                <w:sz w:val="20"/>
                <w:szCs w:val="20"/>
                <w:color w:val="auto"/>
              </w:rPr>
            </w:pPr>
            <w:r>
              <w:rPr>
                <w:rFonts w:ascii="Times New Roman" w:cs="Times New Roman" w:eastAsia="Times New Roman" w:hAnsi="Times New Roman"/>
                <w:sz w:val="28"/>
                <w:szCs w:val="28"/>
                <w:color w:val="auto"/>
              </w:rPr>
              <w:t>Годовые затраты (без амортизации) составят</w:t>
            </w:r>
          </w:p>
        </w:tc>
        <w:tc>
          <w:tcPr>
            <w:tcW w:w="1320" w:type="dxa"/>
            <w:vAlign w:val="bottom"/>
          </w:tcPr>
          <w:p>
            <w:pPr>
              <w:spacing w:after="0"/>
              <w:rPr>
                <w:sz w:val="24"/>
                <w:szCs w:val="24"/>
                <w:color w:val="auto"/>
              </w:rPr>
            </w:pPr>
          </w:p>
        </w:tc>
      </w:tr>
      <w:tr>
        <w:trPr>
          <w:trHeight w:val="697"/>
        </w:trPr>
        <w:tc>
          <w:tcPr>
            <w:tcW w:w="720" w:type="dxa"/>
            <w:vAlign w:val="bottom"/>
          </w:tcPr>
          <w:p>
            <w:pPr>
              <w:spacing w:after="0"/>
              <w:rPr>
                <w:sz w:val="24"/>
                <w:szCs w:val="24"/>
                <w:color w:val="auto"/>
              </w:rPr>
            </w:pPr>
          </w:p>
        </w:tc>
        <w:tc>
          <w:tcPr>
            <w:tcW w:w="7340" w:type="dxa"/>
            <w:vAlign w:val="bottom"/>
            <w:gridSpan w:val="3"/>
          </w:tcPr>
          <w:p>
            <w:pPr>
              <w:spacing w:after="0"/>
              <w:rPr>
                <w:sz w:val="20"/>
                <w:szCs w:val="20"/>
                <w:color w:val="auto"/>
              </w:rPr>
            </w:pPr>
            <w:r>
              <w:rPr>
                <w:rFonts w:ascii="Times New Roman" w:cs="Times New Roman" w:eastAsia="Times New Roman" w:hAnsi="Times New Roman"/>
                <w:sz w:val="28"/>
                <w:szCs w:val="28"/>
                <w:color w:val="auto"/>
              </w:rPr>
              <w:t>0,032 руб./пас км · 7 776 000 пас км = 248 832 руб.</w:t>
            </w:r>
          </w:p>
        </w:tc>
        <w:tc>
          <w:tcPr>
            <w:tcW w:w="1320" w:type="dxa"/>
            <w:vAlign w:val="bottom"/>
          </w:tcPr>
          <w:p>
            <w:pPr>
              <w:spacing w:after="0"/>
              <w:rPr>
                <w:sz w:val="24"/>
                <w:szCs w:val="24"/>
                <w:color w:val="auto"/>
              </w:rPr>
            </w:pPr>
          </w:p>
        </w:tc>
      </w:tr>
      <w:tr>
        <w:trPr>
          <w:trHeight w:val="698"/>
        </w:trPr>
        <w:tc>
          <w:tcPr>
            <w:tcW w:w="720" w:type="dxa"/>
            <w:vAlign w:val="bottom"/>
          </w:tcPr>
          <w:p>
            <w:pPr>
              <w:spacing w:after="0"/>
              <w:rPr>
                <w:sz w:val="24"/>
                <w:szCs w:val="24"/>
                <w:color w:val="auto"/>
              </w:rPr>
            </w:pPr>
          </w:p>
        </w:tc>
        <w:tc>
          <w:tcPr>
            <w:tcW w:w="7340" w:type="dxa"/>
            <w:vAlign w:val="bottom"/>
            <w:gridSpan w:val="3"/>
          </w:tcPr>
          <w:p>
            <w:pPr>
              <w:spacing w:after="0"/>
              <w:rPr>
                <w:sz w:val="20"/>
                <w:szCs w:val="20"/>
                <w:color w:val="auto"/>
              </w:rPr>
            </w:pPr>
            <w:r>
              <w:rPr>
                <w:rFonts w:ascii="Times New Roman" w:cs="Times New Roman" w:eastAsia="Times New Roman" w:hAnsi="Times New Roman"/>
                <w:sz w:val="28"/>
                <w:szCs w:val="28"/>
                <w:color w:val="auto"/>
              </w:rPr>
              <w:t>Чистый доход за год составит</w:t>
            </w:r>
          </w:p>
        </w:tc>
        <w:tc>
          <w:tcPr>
            <w:tcW w:w="1320" w:type="dxa"/>
            <w:vAlign w:val="bottom"/>
          </w:tcPr>
          <w:p>
            <w:pPr>
              <w:spacing w:after="0"/>
              <w:rPr>
                <w:sz w:val="24"/>
                <w:szCs w:val="24"/>
                <w:color w:val="auto"/>
              </w:rPr>
            </w:pPr>
          </w:p>
        </w:tc>
      </w:tr>
      <w:tr>
        <w:trPr>
          <w:trHeight w:val="697"/>
        </w:trPr>
        <w:tc>
          <w:tcPr>
            <w:tcW w:w="720" w:type="dxa"/>
            <w:vAlign w:val="bottom"/>
          </w:tcPr>
          <w:p>
            <w:pPr>
              <w:spacing w:after="0"/>
              <w:rPr>
                <w:sz w:val="24"/>
                <w:szCs w:val="24"/>
                <w:color w:val="auto"/>
              </w:rPr>
            </w:pPr>
          </w:p>
        </w:tc>
        <w:tc>
          <w:tcPr>
            <w:tcW w:w="7340" w:type="dxa"/>
            <w:vAlign w:val="bottom"/>
            <w:gridSpan w:val="3"/>
          </w:tcPr>
          <w:p>
            <w:pPr>
              <w:spacing w:after="0"/>
              <w:rPr>
                <w:sz w:val="20"/>
                <w:szCs w:val="20"/>
                <w:color w:val="auto"/>
              </w:rPr>
            </w:pPr>
            <w:r>
              <w:rPr>
                <w:rFonts w:ascii="Times New Roman" w:cs="Times New Roman" w:eastAsia="Times New Roman" w:hAnsi="Times New Roman"/>
                <w:sz w:val="28"/>
                <w:szCs w:val="28"/>
                <w:color w:val="auto"/>
              </w:rPr>
              <w:t>279 936 руб. — 248 832 руб. = 31 104 руб.</w:t>
            </w:r>
          </w:p>
        </w:tc>
        <w:tc>
          <w:tcPr>
            <w:tcW w:w="1320" w:type="dxa"/>
            <w:vAlign w:val="bottom"/>
          </w:tcPr>
          <w:p>
            <w:pPr>
              <w:spacing w:after="0"/>
              <w:rPr>
                <w:sz w:val="24"/>
                <w:szCs w:val="24"/>
                <w:color w:val="auto"/>
              </w:rPr>
            </w:pPr>
          </w:p>
        </w:tc>
      </w:tr>
    </w:tbl>
    <w:p>
      <w:pPr>
        <w:spacing w:after="0" w:line="200" w:lineRule="exact"/>
        <w:rPr>
          <w:sz w:val="20"/>
          <w:szCs w:val="20"/>
          <w:color w:val="auto"/>
        </w:rPr>
      </w:pPr>
    </w:p>
    <w:p>
      <w:pPr>
        <w:sectPr>
          <w:pgSz w:w="11900" w:h="16840" w:orient="portrait"/>
          <w:cols w:equalWidth="0" w:num="1">
            <w:col w:w="9620"/>
          </w:cols>
          <w:pgMar w:left="1440" w:top="1112" w:right="844" w:bottom="16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64" w:lineRule="exact"/>
        <w:rPr>
          <w:sz w:val="20"/>
          <w:szCs w:val="20"/>
          <w:color w:val="auto"/>
        </w:rPr>
      </w:pPr>
    </w:p>
    <w:p>
      <w:pPr>
        <w:ind w:left="9380"/>
        <w:spacing w:after="0"/>
        <w:rPr>
          <w:sz w:val="20"/>
          <w:szCs w:val="20"/>
          <w:color w:val="auto"/>
        </w:rPr>
      </w:pPr>
      <w:r>
        <w:rPr>
          <w:rFonts w:ascii="Times New Roman" w:cs="Times New Roman" w:eastAsia="Times New Roman" w:hAnsi="Times New Roman"/>
          <w:sz w:val="24"/>
          <w:szCs w:val="24"/>
          <w:color w:val="auto"/>
        </w:rPr>
        <w:t>32</w:t>
      </w:r>
    </w:p>
    <w:p>
      <w:pPr>
        <w:sectPr>
          <w:pgSz w:w="11900" w:h="16840" w:orient="portrait"/>
          <w:cols w:equalWidth="0" w:num="1">
            <w:col w:w="9620"/>
          </w:cols>
          <w:pgMar w:left="1440" w:top="1112" w:right="844" w:bottom="163" w:gutter="0" w:footer="0" w:header="0"/>
          <w:type w:val="continuous"/>
        </w:sectPr>
      </w:pPr>
    </w:p>
    <w:p>
      <w:pPr>
        <w:jc w:val="both"/>
        <w:ind w:left="260" w:firstLine="720"/>
        <w:spacing w:after="0" w:line="267" w:lineRule="auto"/>
        <w:rPr>
          <w:sz w:val="20"/>
          <w:szCs w:val="20"/>
          <w:color w:val="auto"/>
        </w:rPr>
      </w:pPr>
      <w:r>
        <w:rPr>
          <w:rFonts w:ascii="Times New Roman" w:cs="Times New Roman" w:eastAsia="Times New Roman" w:hAnsi="Times New Roman"/>
          <w:sz w:val="28"/>
          <w:szCs w:val="28"/>
          <w:color w:val="auto"/>
        </w:rPr>
        <w:t>Определим остаточную стоимость имущества, когда автобус будет списываться. Остаточная стоимость автобуса равна его утилизационной стоимости , и для указанного класса машин она равна 1000 руб. Остаточная стоимость здания по истечении 6 лет при годовой норме амортизации в 1% равна</w:t>
      </w:r>
    </w:p>
    <w:p>
      <w:pPr>
        <w:spacing w:after="0" w:line="302" w:lineRule="exact"/>
        <w:rPr>
          <w:sz w:val="20"/>
          <w:szCs w:val="20"/>
          <w:color w:val="auto"/>
        </w:rPr>
      </w:pPr>
    </w:p>
    <w:p>
      <w:pPr>
        <w:ind w:left="3000"/>
        <w:spacing w:after="0"/>
        <w:rPr>
          <w:sz w:val="20"/>
          <w:szCs w:val="20"/>
          <w:color w:val="auto"/>
        </w:rPr>
      </w:pPr>
      <w:r>
        <w:rPr>
          <w:rFonts w:ascii="Times New Roman" w:cs="Times New Roman" w:eastAsia="Times New Roman" w:hAnsi="Times New Roman"/>
          <w:sz w:val="28"/>
          <w:szCs w:val="28"/>
          <w:color w:val="auto"/>
        </w:rPr>
        <w:t>20 000 (1 - 0,01 · 6) = 18 800 руб.</w:t>
      </w:r>
    </w:p>
    <w:p>
      <w:pPr>
        <w:spacing w:after="0" w:line="375" w:lineRule="exact"/>
        <w:rPr>
          <w:sz w:val="20"/>
          <w:szCs w:val="20"/>
          <w:color w:val="auto"/>
        </w:rPr>
      </w:pPr>
    </w:p>
    <w:p>
      <w:pPr>
        <w:ind w:left="980"/>
        <w:spacing w:after="0"/>
        <w:rPr>
          <w:sz w:val="20"/>
          <w:szCs w:val="20"/>
          <w:color w:val="auto"/>
        </w:rPr>
      </w:pPr>
      <w:r>
        <w:rPr>
          <w:rFonts w:ascii="Times New Roman" w:cs="Times New Roman" w:eastAsia="Times New Roman" w:hAnsi="Times New Roman"/>
          <w:sz w:val="28"/>
          <w:szCs w:val="28"/>
          <w:color w:val="auto"/>
        </w:rPr>
        <w:t>Таким образом, остаточная стоимость всего имущества системы равна</w:t>
      </w:r>
    </w:p>
    <w:p>
      <w:pPr>
        <w:spacing w:after="0" w:line="376" w:lineRule="exact"/>
        <w:rPr>
          <w:sz w:val="20"/>
          <w:szCs w:val="20"/>
          <w:color w:val="auto"/>
        </w:rPr>
      </w:pPr>
    </w:p>
    <w:p>
      <w:pPr>
        <w:ind w:left="3100"/>
        <w:spacing w:after="0"/>
        <w:rPr>
          <w:sz w:val="20"/>
          <w:szCs w:val="20"/>
          <w:color w:val="auto"/>
        </w:rPr>
      </w:pPr>
      <w:r>
        <w:rPr>
          <w:rFonts w:ascii="Times New Roman" w:cs="Times New Roman" w:eastAsia="Times New Roman" w:hAnsi="Times New Roman"/>
          <w:sz w:val="28"/>
          <w:szCs w:val="28"/>
          <w:color w:val="auto"/>
        </w:rPr>
        <w:t>18 800 руб. + 1000 руб. = 19 800 руб.</w:t>
      </w:r>
    </w:p>
    <w:p>
      <w:pPr>
        <w:spacing w:after="0" w:line="375" w:lineRule="exact"/>
        <w:rPr>
          <w:sz w:val="20"/>
          <w:szCs w:val="20"/>
          <w:color w:val="auto"/>
        </w:rPr>
      </w:pPr>
    </w:p>
    <w:p>
      <w:pPr>
        <w:ind w:left="980"/>
        <w:spacing w:after="0"/>
        <w:rPr>
          <w:sz w:val="20"/>
          <w:szCs w:val="20"/>
          <w:color w:val="auto"/>
        </w:rPr>
      </w:pPr>
      <w:r>
        <w:rPr>
          <w:rFonts w:ascii="Times New Roman" w:cs="Times New Roman" w:eastAsia="Times New Roman" w:hAnsi="Times New Roman"/>
          <w:sz w:val="28"/>
          <w:szCs w:val="28"/>
          <w:color w:val="auto"/>
        </w:rPr>
        <w:t>Текущая стоимость имущества всей производственной системы</w:t>
      </w:r>
    </w:p>
    <w:p>
      <w:pPr>
        <w:spacing w:after="0" w:line="135" w:lineRule="exact"/>
        <w:rPr>
          <w:sz w:val="20"/>
          <w:szCs w:val="20"/>
          <w:color w:val="auto"/>
        </w:rPr>
      </w:pPr>
    </w:p>
    <w:tbl>
      <w:tblPr>
        <w:tblLayout w:type="fixed"/>
        <w:tblInd w:w="300" w:type="dxa"/>
        <w:tblCellMar>
          <w:top w:w="0" w:type="dxa"/>
          <w:left w:w="0" w:type="dxa"/>
          <w:bottom w:w="0" w:type="dxa"/>
          <w:right w:w="0" w:type="dxa"/>
        </w:tblCellMar>
      </w:tblPr>
      <w:tr>
        <w:trPr>
          <w:trHeight w:val="795"/>
        </w:trPr>
        <w:tc>
          <w:tcPr>
            <w:tcW w:w="640" w:type="dxa"/>
            <w:vAlign w:val="bottom"/>
            <w:vMerge w:val="restart"/>
          </w:tcPr>
          <w:p>
            <w:pPr>
              <w:spacing w:after="0"/>
              <w:rPr>
                <w:sz w:val="20"/>
                <w:szCs w:val="20"/>
                <w:color w:val="auto"/>
              </w:rPr>
            </w:pPr>
            <w:r>
              <w:rPr>
                <w:rFonts w:ascii="Times New Roman" w:cs="Times New Roman" w:eastAsia="Times New Roman" w:hAnsi="Times New Roman"/>
                <w:sz w:val="37"/>
                <w:szCs w:val="37"/>
                <w:i w:val="1"/>
                <w:iCs w:val="1"/>
                <w:color w:val="auto"/>
              </w:rPr>
              <w:t xml:space="preserve">C </w:t>
            </w:r>
            <w:r>
              <w:rPr>
                <w:rFonts w:ascii="Symbol" w:cs="Symbol" w:eastAsia="Symbol" w:hAnsi="Symbol"/>
                <w:sz w:val="37"/>
                <w:szCs w:val="37"/>
                <w:color w:val="auto"/>
              </w:rPr>
              <w:t></w:t>
            </w:r>
          </w:p>
        </w:tc>
        <w:tc>
          <w:tcPr>
            <w:tcW w:w="9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37"/>
                <w:szCs w:val="37"/>
                <w:color w:val="auto"/>
                <w:w w:val="99"/>
              </w:rPr>
              <w:t>31104</w:t>
            </w:r>
          </w:p>
        </w:tc>
        <w:tc>
          <w:tcPr>
            <w:tcW w:w="680" w:type="dxa"/>
            <w:vAlign w:val="bottom"/>
            <w:vMerge w:val="restart"/>
          </w:tcPr>
          <w:p>
            <w:pPr>
              <w:ind w:left="60"/>
              <w:spacing w:after="0"/>
              <w:rPr>
                <w:sz w:val="20"/>
                <w:szCs w:val="20"/>
                <w:color w:val="auto"/>
              </w:rPr>
            </w:pPr>
            <w:r>
              <w:rPr>
                <w:rFonts w:ascii="Symbol" w:cs="Symbol" w:eastAsia="Symbol" w:hAnsi="Symbol"/>
                <w:sz w:val="73"/>
                <w:szCs w:val="73"/>
                <w:color w:val="auto"/>
                <w:w w:val="89"/>
                <w:vertAlign w:val="superscript"/>
              </w:rPr>
              <w:t></w:t>
            </w:r>
            <w:r>
              <w:rPr>
                <w:rFonts w:ascii="Times New Roman" w:cs="Times New Roman" w:eastAsia="Times New Roman" w:hAnsi="Times New Roman"/>
                <w:sz w:val="37"/>
                <w:szCs w:val="37"/>
                <w:color w:val="auto"/>
                <w:w w:val="89"/>
              </w:rPr>
              <w:t xml:space="preserve">1 </w:t>
            </w:r>
            <w:r>
              <w:rPr>
                <w:rFonts w:ascii="Symbol" w:cs="Symbol" w:eastAsia="Symbol" w:hAnsi="Symbol"/>
                <w:sz w:val="37"/>
                <w:szCs w:val="37"/>
                <w:color w:val="auto"/>
                <w:w w:val="89"/>
              </w:rPr>
              <w:t></w:t>
            </w:r>
          </w:p>
        </w:tc>
        <w:tc>
          <w:tcPr>
            <w:tcW w:w="1360" w:type="dxa"/>
            <w:vAlign w:val="bottom"/>
            <w:tcBorders>
              <w:bottom w:val="single" w:sz="8" w:color="auto"/>
            </w:tcBorders>
          </w:tcPr>
          <w:p>
            <w:pPr>
              <w:jc w:val="right"/>
              <w:ind w:right="336"/>
              <w:spacing w:after="0"/>
              <w:rPr>
                <w:sz w:val="20"/>
                <w:szCs w:val="20"/>
                <w:color w:val="auto"/>
              </w:rPr>
            </w:pPr>
            <w:r>
              <w:rPr>
                <w:rFonts w:ascii="Times New Roman" w:cs="Times New Roman" w:eastAsia="Times New Roman" w:hAnsi="Times New Roman"/>
                <w:sz w:val="37"/>
                <w:szCs w:val="37"/>
                <w:color w:val="auto"/>
              </w:rPr>
              <w:t>1</w:t>
            </w:r>
          </w:p>
        </w:tc>
        <w:tc>
          <w:tcPr>
            <w:tcW w:w="160" w:type="dxa"/>
            <w:vAlign w:val="bottom"/>
            <w:tcBorders>
              <w:bottom w:val="single" w:sz="8" w:color="auto"/>
            </w:tcBorders>
          </w:tcPr>
          <w:p>
            <w:pPr>
              <w:spacing w:after="0"/>
              <w:rPr>
                <w:sz w:val="24"/>
                <w:szCs w:val="24"/>
                <w:color w:val="auto"/>
              </w:rPr>
            </w:pPr>
          </w:p>
        </w:tc>
        <w:tc>
          <w:tcPr>
            <w:tcW w:w="200" w:type="dxa"/>
            <w:vAlign w:val="bottom"/>
          </w:tcPr>
          <w:p>
            <w:pPr>
              <w:ind w:left="20"/>
              <w:spacing w:after="0"/>
              <w:rPr>
                <w:sz w:val="20"/>
                <w:szCs w:val="20"/>
                <w:color w:val="auto"/>
              </w:rPr>
            </w:pPr>
            <w:r>
              <w:rPr>
                <w:rFonts w:ascii="Symbol" w:cs="Symbol" w:eastAsia="Symbol" w:hAnsi="Symbol"/>
                <w:sz w:val="37"/>
                <w:szCs w:val="37"/>
                <w:color w:val="auto"/>
              </w:rPr>
              <w:t></w:t>
            </w:r>
          </w:p>
        </w:tc>
        <w:tc>
          <w:tcPr>
            <w:tcW w:w="320" w:type="dxa"/>
            <w:vAlign w:val="bottom"/>
            <w:vMerge w:val="restart"/>
          </w:tcPr>
          <w:p>
            <w:pPr>
              <w:ind w:left="40"/>
              <w:spacing w:after="0"/>
              <w:rPr>
                <w:sz w:val="20"/>
                <w:szCs w:val="20"/>
                <w:color w:val="auto"/>
              </w:rPr>
            </w:pPr>
            <w:r>
              <w:rPr>
                <w:rFonts w:ascii="Symbol" w:cs="Symbol" w:eastAsia="Symbol" w:hAnsi="Symbol"/>
                <w:sz w:val="37"/>
                <w:szCs w:val="37"/>
                <w:color w:val="auto"/>
              </w:rPr>
              <w:t></w:t>
            </w:r>
          </w:p>
        </w:tc>
        <w:tc>
          <w:tcPr>
            <w:tcW w:w="13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37"/>
                <w:szCs w:val="37"/>
                <w:color w:val="auto"/>
              </w:rPr>
              <w:t>19800</w:t>
            </w:r>
          </w:p>
        </w:tc>
        <w:tc>
          <w:tcPr>
            <w:tcW w:w="140" w:type="dxa"/>
            <w:vAlign w:val="bottom"/>
            <w:tcBorders>
              <w:bottom w:val="single" w:sz="8" w:color="auto"/>
            </w:tcBorders>
          </w:tcPr>
          <w:p>
            <w:pPr>
              <w:spacing w:after="0"/>
              <w:rPr>
                <w:sz w:val="24"/>
                <w:szCs w:val="24"/>
                <w:color w:val="auto"/>
              </w:rPr>
            </w:pPr>
          </w:p>
        </w:tc>
        <w:tc>
          <w:tcPr>
            <w:tcW w:w="3240" w:type="dxa"/>
            <w:vAlign w:val="bottom"/>
            <w:vMerge w:val="restart"/>
          </w:tcPr>
          <w:p>
            <w:pPr>
              <w:ind w:left="100"/>
              <w:spacing w:after="0"/>
              <w:rPr>
                <w:sz w:val="20"/>
                <w:szCs w:val="20"/>
                <w:color w:val="auto"/>
              </w:rPr>
            </w:pPr>
            <w:r>
              <w:rPr>
                <w:rFonts w:ascii="Symbol" w:cs="Symbol" w:eastAsia="Symbol" w:hAnsi="Symbol"/>
                <w:sz w:val="37"/>
                <w:szCs w:val="37"/>
                <w:color w:val="auto"/>
                <w:w w:val="97"/>
              </w:rPr>
              <w:t></w:t>
            </w:r>
            <w:r>
              <w:rPr>
                <w:rFonts w:ascii="Times New Roman" w:cs="Times New Roman" w:eastAsia="Times New Roman" w:hAnsi="Times New Roman"/>
                <w:sz w:val="37"/>
                <w:szCs w:val="37"/>
                <w:color w:val="auto"/>
                <w:w w:val="97"/>
              </w:rPr>
              <w:t xml:space="preserve"> 96990 </w:t>
            </w:r>
            <w:r>
              <w:rPr>
                <w:rFonts w:ascii="Symbol" w:cs="Symbol" w:eastAsia="Symbol" w:hAnsi="Symbol"/>
                <w:sz w:val="37"/>
                <w:szCs w:val="37"/>
                <w:color w:val="auto"/>
                <w:w w:val="97"/>
              </w:rPr>
              <w:t></w:t>
            </w:r>
            <w:r>
              <w:rPr>
                <w:rFonts w:ascii="Times New Roman" w:cs="Times New Roman" w:eastAsia="Times New Roman" w:hAnsi="Times New Roman"/>
                <w:sz w:val="37"/>
                <w:szCs w:val="37"/>
                <w:color w:val="auto"/>
                <w:w w:val="97"/>
              </w:rPr>
              <w:t xml:space="preserve"> 97000руб.</w:t>
            </w:r>
          </w:p>
        </w:tc>
        <w:tc>
          <w:tcPr>
            <w:tcW w:w="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79"/>
        </w:trPr>
        <w:tc>
          <w:tcPr>
            <w:tcW w:w="640" w:type="dxa"/>
            <w:vAlign w:val="bottom"/>
            <w:vMerge w:val="continue"/>
          </w:tcPr>
          <w:p>
            <w:pPr>
              <w:spacing w:after="0"/>
              <w:rPr>
                <w:sz w:val="6"/>
                <w:szCs w:val="6"/>
                <w:color w:val="auto"/>
              </w:rPr>
            </w:pPr>
          </w:p>
        </w:tc>
        <w:tc>
          <w:tcPr>
            <w:tcW w:w="940" w:type="dxa"/>
            <w:vAlign w:val="bottom"/>
          </w:tcPr>
          <w:p>
            <w:pPr>
              <w:spacing w:after="0"/>
              <w:rPr>
                <w:sz w:val="6"/>
                <w:szCs w:val="6"/>
                <w:color w:val="auto"/>
              </w:rPr>
            </w:pPr>
          </w:p>
        </w:tc>
        <w:tc>
          <w:tcPr>
            <w:tcW w:w="680" w:type="dxa"/>
            <w:vAlign w:val="bottom"/>
            <w:vMerge w:val="continue"/>
          </w:tcPr>
          <w:p>
            <w:pPr>
              <w:spacing w:after="0"/>
              <w:rPr>
                <w:sz w:val="6"/>
                <w:szCs w:val="6"/>
                <w:color w:val="auto"/>
              </w:rPr>
            </w:pPr>
          </w:p>
        </w:tc>
        <w:tc>
          <w:tcPr>
            <w:tcW w:w="1360" w:type="dxa"/>
            <w:vAlign w:val="bottom"/>
          </w:tcPr>
          <w:p>
            <w:pPr>
              <w:spacing w:after="0"/>
              <w:rPr>
                <w:sz w:val="6"/>
                <w:szCs w:val="6"/>
                <w:color w:val="auto"/>
              </w:rPr>
            </w:pPr>
          </w:p>
        </w:tc>
        <w:tc>
          <w:tcPr>
            <w:tcW w:w="160" w:type="dxa"/>
            <w:vAlign w:val="bottom"/>
            <w:vMerge w:val="restart"/>
          </w:tcPr>
          <w:p>
            <w:pPr>
              <w:jc w:val="right"/>
              <w:spacing w:after="0" w:line="198" w:lineRule="exact"/>
              <w:rPr>
                <w:sz w:val="20"/>
                <w:szCs w:val="20"/>
                <w:color w:val="auto"/>
              </w:rPr>
            </w:pPr>
            <w:r>
              <w:rPr>
                <w:rFonts w:ascii="Times New Roman" w:cs="Times New Roman" w:eastAsia="Times New Roman" w:hAnsi="Times New Roman"/>
                <w:sz w:val="18"/>
                <w:szCs w:val="18"/>
                <w:color w:val="auto"/>
                <w:w w:val="88"/>
              </w:rPr>
              <w:t>6</w:t>
            </w:r>
          </w:p>
        </w:tc>
        <w:tc>
          <w:tcPr>
            <w:tcW w:w="200" w:type="dxa"/>
            <w:vAlign w:val="bottom"/>
            <w:vMerge w:val="restart"/>
          </w:tcPr>
          <w:p>
            <w:pPr>
              <w:ind w:left="20"/>
              <w:spacing w:after="0" w:line="198" w:lineRule="exact"/>
              <w:rPr>
                <w:sz w:val="20"/>
                <w:szCs w:val="20"/>
                <w:color w:val="auto"/>
              </w:rPr>
            </w:pPr>
            <w:r>
              <w:rPr>
                <w:rFonts w:ascii="Symbol" w:cs="Symbol" w:eastAsia="Symbol" w:hAnsi="Symbol"/>
                <w:sz w:val="20"/>
                <w:szCs w:val="20"/>
                <w:color w:val="auto"/>
              </w:rPr>
              <w:t></w:t>
            </w:r>
          </w:p>
        </w:tc>
        <w:tc>
          <w:tcPr>
            <w:tcW w:w="320" w:type="dxa"/>
            <w:vAlign w:val="bottom"/>
            <w:vMerge w:val="continue"/>
          </w:tcPr>
          <w:p>
            <w:pPr>
              <w:spacing w:after="0"/>
              <w:rPr>
                <w:sz w:val="6"/>
                <w:szCs w:val="6"/>
                <w:color w:val="auto"/>
              </w:rPr>
            </w:pPr>
          </w:p>
        </w:tc>
        <w:tc>
          <w:tcPr>
            <w:tcW w:w="1380" w:type="dxa"/>
            <w:vAlign w:val="bottom"/>
          </w:tcPr>
          <w:p>
            <w:pPr>
              <w:spacing w:after="0"/>
              <w:rPr>
                <w:sz w:val="6"/>
                <w:szCs w:val="6"/>
                <w:color w:val="auto"/>
              </w:rPr>
            </w:pPr>
          </w:p>
        </w:tc>
        <w:tc>
          <w:tcPr>
            <w:tcW w:w="140" w:type="dxa"/>
            <w:vAlign w:val="bottom"/>
            <w:vMerge w:val="restart"/>
          </w:tcPr>
          <w:p>
            <w:pPr>
              <w:jc w:val="right"/>
              <w:spacing w:after="0" w:line="198" w:lineRule="exact"/>
              <w:rPr>
                <w:sz w:val="20"/>
                <w:szCs w:val="20"/>
                <w:color w:val="auto"/>
              </w:rPr>
            </w:pPr>
            <w:r>
              <w:rPr>
                <w:rFonts w:ascii="Times New Roman" w:cs="Times New Roman" w:eastAsia="Times New Roman" w:hAnsi="Times New Roman"/>
                <w:sz w:val="18"/>
                <w:szCs w:val="18"/>
                <w:color w:val="auto"/>
                <w:w w:val="88"/>
              </w:rPr>
              <w:t>6</w:t>
            </w:r>
          </w:p>
        </w:tc>
        <w:tc>
          <w:tcPr>
            <w:tcW w:w="3240" w:type="dxa"/>
            <w:vAlign w:val="bottom"/>
            <w:vMerge w:val="continue"/>
          </w:tcPr>
          <w:p>
            <w:pPr>
              <w:spacing w:after="0"/>
              <w:rPr>
                <w:sz w:val="6"/>
                <w:szCs w:val="6"/>
                <w:color w:val="auto"/>
              </w:rPr>
            </w:pPr>
          </w:p>
        </w:tc>
        <w:tc>
          <w:tcPr>
            <w:tcW w:w="60" w:type="dxa"/>
            <w:vAlign w:val="bottom"/>
            <w:vMerge w:val="restart"/>
          </w:tcPr>
          <w:p>
            <w:pPr>
              <w:jc w:val="right"/>
              <w:spacing w:after="0" w:line="198" w:lineRule="exact"/>
              <w:rPr>
                <w:sz w:val="20"/>
                <w:szCs w:val="20"/>
                <w:color w:val="auto"/>
              </w:rPr>
            </w:pPr>
            <w:r>
              <w:rPr>
                <w:rFonts w:ascii="Times New Roman" w:cs="Times New Roman" w:eastAsia="Times New Roman" w:hAnsi="Times New Roman"/>
                <w:sz w:val="22"/>
                <w:szCs w:val="22"/>
                <w:color w:val="auto"/>
                <w:w w:val="71"/>
              </w:rPr>
              <w:t>,</w:t>
            </w:r>
          </w:p>
        </w:tc>
        <w:tc>
          <w:tcPr>
            <w:tcW w:w="0" w:type="dxa"/>
            <w:vAlign w:val="bottom"/>
          </w:tcPr>
          <w:p>
            <w:pPr>
              <w:spacing w:after="0"/>
              <w:rPr>
                <w:sz w:val="1"/>
                <w:szCs w:val="1"/>
                <w:color w:val="auto"/>
              </w:rPr>
            </w:pPr>
          </w:p>
        </w:tc>
      </w:tr>
      <w:tr>
        <w:trPr>
          <w:trHeight w:val="119"/>
        </w:trPr>
        <w:tc>
          <w:tcPr>
            <w:tcW w:w="1580" w:type="dxa"/>
            <w:vAlign w:val="bottom"/>
            <w:gridSpan w:val="2"/>
            <w:vMerge w:val="restart"/>
          </w:tcPr>
          <w:p>
            <w:pPr>
              <w:jc w:val="right"/>
              <w:spacing w:after="0"/>
              <w:rPr>
                <w:sz w:val="20"/>
                <w:szCs w:val="20"/>
                <w:color w:val="auto"/>
              </w:rPr>
            </w:pPr>
            <w:r>
              <w:rPr>
                <w:rFonts w:ascii="Times New Roman" w:cs="Times New Roman" w:eastAsia="Times New Roman" w:hAnsi="Times New Roman"/>
                <w:sz w:val="37"/>
                <w:szCs w:val="37"/>
                <w:color w:val="auto"/>
              </w:rPr>
              <w:t>0,25</w:t>
            </w:r>
          </w:p>
        </w:tc>
        <w:tc>
          <w:tcPr>
            <w:tcW w:w="680" w:type="dxa"/>
            <w:vAlign w:val="bottom"/>
          </w:tcPr>
          <w:p>
            <w:pPr>
              <w:ind w:left="60"/>
              <w:spacing w:after="0" w:line="119" w:lineRule="exact"/>
              <w:rPr>
                <w:sz w:val="20"/>
                <w:szCs w:val="20"/>
                <w:color w:val="auto"/>
              </w:rPr>
            </w:pPr>
            <w:r>
              <w:rPr>
                <w:rFonts w:ascii="Symbol" w:cs="Symbol" w:eastAsia="Symbol" w:hAnsi="Symbol"/>
                <w:sz w:val="12"/>
                <w:szCs w:val="12"/>
                <w:color w:val="auto"/>
              </w:rPr>
              <w:t></w:t>
            </w:r>
          </w:p>
        </w:tc>
        <w:tc>
          <w:tcPr>
            <w:tcW w:w="1360" w:type="dxa"/>
            <w:vAlign w:val="bottom"/>
            <w:vMerge w:val="restart"/>
          </w:tcPr>
          <w:p>
            <w:pPr>
              <w:jc w:val="right"/>
              <w:spacing w:after="0"/>
              <w:rPr>
                <w:sz w:val="20"/>
                <w:szCs w:val="20"/>
                <w:color w:val="auto"/>
              </w:rPr>
            </w:pPr>
            <w:r>
              <w:rPr>
                <w:rFonts w:ascii="Times New Roman" w:cs="Times New Roman" w:eastAsia="Times New Roman" w:hAnsi="Times New Roman"/>
                <w:sz w:val="37"/>
                <w:szCs w:val="37"/>
                <w:color w:val="auto"/>
                <w:w w:val="91"/>
              </w:rPr>
              <w:t xml:space="preserve">(1 </w:t>
            </w:r>
            <w:r>
              <w:rPr>
                <w:rFonts w:ascii="Symbol" w:cs="Symbol" w:eastAsia="Symbol" w:hAnsi="Symbol"/>
                <w:sz w:val="37"/>
                <w:szCs w:val="37"/>
                <w:color w:val="auto"/>
                <w:w w:val="91"/>
              </w:rPr>
              <w:t></w:t>
            </w:r>
            <w:r>
              <w:rPr>
                <w:rFonts w:ascii="Times New Roman" w:cs="Times New Roman" w:eastAsia="Times New Roman" w:hAnsi="Times New Roman"/>
                <w:sz w:val="37"/>
                <w:szCs w:val="37"/>
                <w:color w:val="auto"/>
                <w:w w:val="91"/>
              </w:rPr>
              <w:t xml:space="preserve"> 0,25)</w:t>
            </w:r>
          </w:p>
        </w:tc>
        <w:tc>
          <w:tcPr>
            <w:tcW w:w="160" w:type="dxa"/>
            <w:vAlign w:val="bottom"/>
            <w:vMerge w:val="continue"/>
          </w:tcPr>
          <w:p>
            <w:pPr>
              <w:spacing w:after="0"/>
              <w:rPr>
                <w:sz w:val="10"/>
                <w:szCs w:val="10"/>
                <w:color w:val="auto"/>
              </w:rPr>
            </w:pPr>
          </w:p>
        </w:tc>
        <w:tc>
          <w:tcPr>
            <w:tcW w:w="200" w:type="dxa"/>
            <w:vAlign w:val="bottom"/>
            <w:vMerge w:val="continue"/>
          </w:tcPr>
          <w:p>
            <w:pPr>
              <w:spacing w:after="0"/>
              <w:rPr>
                <w:sz w:val="10"/>
                <w:szCs w:val="10"/>
                <w:color w:val="auto"/>
              </w:rPr>
            </w:pPr>
          </w:p>
        </w:tc>
        <w:tc>
          <w:tcPr>
            <w:tcW w:w="320" w:type="dxa"/>
            <w:vAlign w:val="bottom"/>
          </w:tcPr>
          <w:p>
            <w:pPr>
              <w:spacing w:after="0"/>
              <w:rPr>
                <w:sz w:val="10"/>
                <w:szCs w:val="10"/>
                <w:color w:val="auto"/>
              </w:rPr>
            </w:pPr>
          </w:p>
        </w:tc>
        <w:tc>
          <w:tcPr>
            <w:tcW w:w="1380" w:type="dxa"/>
            <w:vAlign w:val="bottom"/>
            <w:vMerge w:val="restart"/>
          </w:tcPr>
          <w:p>
            <w:pPr>
              <w:jc w:val="right"/>
              <w:spacing w:after="0"/>
              <w:rPr>
                <w:sz w:val="20"/>
                <w:szCs w:val="20"/>
                <w:color w:val="auto"/>
              </w:rPr>
            </w:pPr>
            <w:r>
              <w:rPr>
                <w:rFonts w:ascii="Times New Roman" w:cs="Times New Roman" w:eastAsia="Times New Roman" w:hAnsi="Times New Roman"/>
                <w:sz w:val="37"/>
                <w:szCs w:val="37"/>
                <w:color w:val="auto"/>
                <w:w w:val="91"/>
              </w:rPr>
              <w:t xml:space="preserve">(1 </w:t>
            </w:r>
            <w:r>
              <w:rPr>
                <w:rFonts w:ascii="Symbol" w:cs="Symbol" w:eastAsia="Symbol" w:hAnsi="Symbol"/>
                <w:sz w:val="37"/>
                <w:szCs w:val="37"/>
                <w:color w:val="auto"/>
                <w:w w:val="91"/>
              </w:rPr>
              <w:t></w:t>
            </w:r>
            <w:r>
              <w:rPr>
                <w:rFonts w:ascii="Times New Roman" w:cs="Times New Roman" w:eastAsia="Times New Roman" w:hAnsi="Times New Roman"/>
                <w:sz w:val="37"/>
                <w:szCs w:val="37"/>
                <w:color w:val="auto"/>
                <w:w w:val="91"/>
              </w:rPr>
              <w:t xml:space="preserve"> 0,25)</w:t>
            </w:r>
          </w:p>
        </w:tc>
        <w:tc>
          <w:tcPr>
            <w:tcW w:w="140" w:type="dxa"/>
            <w:vAlign w:val="bottom"/>
            <w:vMerge w:val="continue"/>
          </w:tcPr>
          <w:p>
            <w:pPr>
              <w:spacing w:after="0"/>
              <w:rPr>
                <w:sz w:val="10"/>
                <w:szCs w:val="10"/>
                <w:color w:val="auto"/>
              </w:rPr>
            </w:pPr>
          </w:p>
        </w:tc>
        <w:tc>
          <w:tcPr>
            <w:tcW w:w="3240" w:type="dxa"/>
            <w:vAlign w:val="bottom"/>
          </w:tcPr>
          <w:p>
            <w:pPr>
              <w:spacing w:after="0"/>
              <w:rPr>
                <w:sz w:val="10"/>
                <w:szCs w:val="10"/>
                <w:color w:val="auto"/>
              </w:rPr>
            </w:pPr>
          </w:p>
        </w:tc>
        <w:tc>
          <w:tcPr>
            <w:tcW w:w="6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335"/>
        </w:trPr>
        <w:tc>
          <w:tcPr>
            <w:tcW w:w="1580" w:type="dxa"/>
            <w:vAlign w:val="bottom"/>
            <w:gridSpan w:val="2"/>
            <w:vMerge w:val="continue"/>
          </w:tcPr>
          <w:p>
            <w:pPr>
              <w:spacing w:after="0"/>
              <w:rPr>
                <w:sz w:val="24"/>
                <w:szCs w:val="24"/>
                <w:color w:val="auto"/>
              </w:rPr>
            </w:pPr>
          </w:p>
        </w:tc>
        <w:tc>
          <w:tcPr>
            <w:tcW w:w="680" w:type="dxa"/>
            <w:vAlign w:val="bottom"/>
          </w:tcPr>
          <w:p>
            <w:pPr>
              <w:ind w:left="60"/>
              <w:spacing w:after="0" w:line="335" w:lineRule="exact"/>
              <w:rPr>
                <w:sz w:val="20"/>
                <w:szCs w:val="20"/>
                <w:color w:val="auto"/>
              </w:rPr>
            </w:pPr>
            <w:r>
              <w:rPr>
                <w:rFonts w:ascii="Symbol" w:cs="Symbol" w:eastAsia="Symbol" w:hAnsi="Symbol"/>
                <w:sz w:val="36"/>
                <w:szCs w:val="36"/>
                <w:color w:val="auto"/>
              </w:rPr>
              <w:t></w:t>
            </w:r>
          </w:p>
        </w:tc>
        <w:tc>
          <w:tcPr>
            <w:tcW w:w="1360" w:type="dxa"/>
            <w:vAlign w:val="bottom"/>
            <w:vMerge w:val="continue"/>
          </w:tcPr>
          <w:p>
            <w:pPr>
              <w:spacing w:after="0"/>
              <w:rPr>
                <w:sz w:val="24"/>
                <w:szCs w:val="24"/>
                <w:color w:val="auto"/>
              </w:rPr>
            </w:pPr>
          </w:p>
        </w:tc>
        <w:tc>
          <w:tcPr>
            <w:tcW w:w="160" w:type="dxa"/>
            <w:vAlign w:val="bottom"/>
          </w:tcPr>
          <w:p>
            <w:pPr>
              <w:spacing w:after="0"/>
              <w:rPr>
                <w:sz w:val="24"/>
                <w:szCs w:val="24"/>
                <w:color w:val="auto"/>
              </w:rPr>
            </w:pPr>
          </w:p>
        </w:tc>
        <w:tc>
          <w:tcPr>
            <w:tcW w:w="200" w:type="dxa"/>
            <w:vAlign w:val="bottom"/>
          </w:tcPr>
          <w:p>
            <w:pPr>
              <w:ind w:left="20"/>
              <w:spacing w:after="0" w:line="335" w:lineRule="exact"/>
              <w:rPr>
                <w:sz w:val="20"/>
                <w:szCs w:val="20"/>
                <w:color w:val="auto"/>
              </w:rPr>
            </w:pPr>
            <w:r>
              <w:rPr>
                <w:rFonts w:ascii="Symbol" w:cs="Symbol" w:eastAsia="Symbol" w:hAnsi="Symbol"/>
                <w:sz w:val="36"/>
                <w:szCs w:val="36"/>
                <w:color w:val="auto"/>
              </w:rPr>
              <w:t></w:t>
            </w:r>
          </w:p>
        </w:tc>
        <w:tc>
          <w:tcPr>
            <w:tcW w:w="320" w:type="dxa"/>
            <w:vAlign w:val="bottom"/>
          </w:tcPr>
          <w:p>
            <w:pPr>
              <w:spacing w:after="0"/>
              <w:rPr>
                <w:sz w:val="24"/>
                <w:szCs w:val="24"/>
                <w:color w:val="auto"/>
              </w:rPr>
            </w:pPr>
          </w:p>
        </w:tc>
        <w:tc>
          <w:tcPr>
            <w:tcW w:w="1380" w:type="dxa"/>
            <w:vAlign w:val="bottom"/>
            <w:vMerge w:val="continue"/>
          </w:tcPr>
          <w:p>
            <w:pPr>
              <w:spacing w:after="0"/>
              <w:rPr>
                <w:sz w:val="24"/>
                <w:szCs w:val="24"/>
                <w:color w:val="auto"/>
              </w:rPr>
            </w:pPr>
          </w:p>
        </w:tc>
        <w:tc>
          <w:tcPr>
            <w:tcW w:w="140" w:type="dxa"/>
            <w:vAlign w:val="bottom"/>
          </w:tcPr>
          <w:p>
            <w:pPr>
              <w:spacing w:after="0"/>
              <w:rPr>
                <w:sz w:val="24"/>
                <w:szCs w:val="24"/>
                <w:color w:val="auto"/>
              </w:rPr>
            </w:pPr>
          </w:p>
        </w:tc>
        <w:tc>
          <w:tcPr>
            <w:tcW w:w="324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0" w:type="dxa"/>
            <w:vAlign w:val="bottom"/>
          </w:tcPr>
          <w:p>
            <w:pPr>
              <w:spacing w:after="0"/>
              <w:rPr>
                <w:sz w:val="1"/>
                <w:szCs w:val="1"/>
                <w:color w:val="auto"/>
              </w:rPr>
            </w:pPr>
          </w:p>
        </w:tc>
      </w:tr>
    </w:tbl>
    <w:p>
      <w:pPr>
        <w:ind w:left="260" w:firstLine="720"/>
        <w:spacing w:after="0" w:line="290" w:lineRule="auto"/>
        <w:rPr>
          <w:sz w:val="20"/>
          <w:szCs w:val="20"/>
          <w:color w:val="auto"/>
        </w:rPr>
      </w:pPr>
      <w:r>
        <w:rPr>
          <w:rFonts w:ascii="Times New Roman" w:cs="Times New Roman" w:eastAsia="Times New Roman" w:hAnsi="Times New Roman"/>
          <w:sz w:val="28"/>
          <w:szCs w:val="28"/>
          <w:color w:val="auto"/>
        </w:rPr>
        <w:t>Стоимость машинного комплекса (автобуса) получаем за вычетом из стоимости всего имущества стоимости здания, т. е.</w:t>
      </w:r>
    </w:p>
    <w:p>
      <w:pPr>
        <w:spacing w:after="0" w:line="268" w:lineRule="exact"/>
        <w:rPr>
          <w:sz w:val="20"/>
          <w:szCs w:val="20"/>
          <w:color w:val="auto"/>
        </w:rPr>
      </w:pPr>
    </w:p>
    <w:p>
      <w:pPr>
        <w:jc w:val="center"/>
        <w:ind w:right="-259"/>
        <w:spacing w:after="0"/>
        <w:rPr>
          <w:sz w:val="20"/>
          <w:szCs w:val="20"/>
          <w:color w:val="auto"/>
        </w:rPr>
      </w:pPr>
      <w:r>
        <w:rPr>
          <w:rFonts w:ascii="Times New Roman" w:cs="Times New Roman" w:eastAsia="Times New Roman" w:hAnsi="Times New Roman"/>
          <w:sz w:val="28"/>
          <w:szCs w:val="28"/>
          <w:color w:val="auto"/>
        </w:rPr>
        <w:t>97 000 руб. - 20 000 руб. = 77 000 руб.</w:t>
      </w:r>
    </w:p>
    <w:p>
      <w:pPr>
        <w:spacing w:after="0" w:line="349" w:lineRule="exact"/>
        <w:rPr>
          <w:sz w:val="20"/>
          <w:szCs w:val="20"/>
          <w:color w:val="auto"/>
        </w:rPr>
      </w:pPr>
    </w:p>
    <w:p>
      <w:pPr>
        <w:ind w:left="260" w:firstLine="720"/>
        <w:spacing w:after="0" w:line="259" w:lineRule="auto"/>
        <w:rPr>
          <w:sz w:val="20"/>
          <w:szCs w:val="20"/>
          <w:color w:val="auto"/>
        </w:rPr>
      </w:pPr>
      <w:r>
        <w:rPr>
          <w:rFonts w:ascii="Times New Roman" w:cs="Times New Roman" w:eastAsia="Times New Roman" w:hAnsi="Times New Roman"/>
          <w:sz w:val="28"/>
          <w:szCs w:val="28"/>
          <w:u w:val="single" w:color="auto"/>
          <w:color w:val="auto"/>
        </w:rPr>
        <w:t>Задача</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u w:val="single" w:color="auto"/>
          <w:color w:val="auto"/>
        </w:rPr>
        <w:t>3.2.4.</w:t>
      </w:r>
      <w:r>
        <w:rPr>
          <w:rFonts w:ascii="Times New Roman" w:cs="Times New Roman" w:eastAsia="Times New Roman" w:hAnsi="Times New Roman"/>
          <w:sz w:val="28"/>
          <w:szCs w:val="28"/>
          <w:color w:val="auto"/>
        </w:rPr>
        <w:t xml:space="preserve"> Определить стоимость гибкого производственного модуля при следующих исходных данных:</w:t>
      </w:r>
    </w:p>
    <w:p>
      <w:pPr>
        <w:spacing w:after="0" w:line="2" w:lineRule="exact"/>
        <w:rPr>
          <w:sz w:val="20"/>
          <w:szCs w:val="20"/>
          <w:color w:val="auto"/>
        </w:rPr>
      </w:pPr>
    </w:p>
    <w:p>
      <w:pPr>
        <w:ind w:left="980" w:right="2540" w:firstLine="2"/>
        <w:spacing w:after="0" w:line="259" w:lineRule="auto"/>
        <w:tabs>
          <w:tab w:leader="none" w:pos="1260" w:val="left"/>
        </w:tabs>
        <w:numPr>
          <w:ilvl w:val="0"/>
          <w:numId w:val="8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Стоимость элементов базисного модуля (в руб.): металлорежущий станок — 75 000;</w:t>
      </w:r>
    </w:p>
    <w:p>
      <w:pPr>
        <w:spacing w:after="0" w:line="2" w:lineRule="exact"/>
        <w:rPr>
          <w:rFonts w:ascii="Times New Roman" w:cs="Times New Roman" w:eastAsia="Times New Roman" w:hAnsi="Times New Roman"/>
          <w:sz w:val="28"/>
          <w:szCs w:val="28"/>
          <w:color w:val="auto"/>
        </w:rPr>
      </w:pPr>
    </w:p>
    <w:p>
      <w:pPr>
        <w:ind w:left="98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робот — 25 000;</w:t>
      </w:r>
    </w:p>
    <w:p>
      <w:pPr>
        <w:spacing w:after="0" w:line="27" w:lineRule="exact"/>
        <w:rPr>
          <w:rFonts w:ascii="Times New Roman" w:cs="Times New Roman" w:eastAsia="Times New Roman" w:hAnsi="Times New Roman"/>
          <w:sz w:val="28"/>
          <w:szCs w:val="28"/>
          <w:color w:val="auto"/>
        </w:rPr>
      </w:pPr>
    </w:p>
    <w:p>
      <w:pPr>
        <w:ind w:left="980" w:right="3140"/>
        <w:spacing w:after="0" w:line="259"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загрузочное устройство — 12 000; накопитель обрабатываемых деталей — 8000.</w:t>
      </w:r>
    </w:p>
    <w:p>
      <w:pPr>
        <w:spacing w:after="0" w:line="2" w:lineRule="exact"/>
        <w:rPr>
          <w:rFonts w:ascii="Times New Roman" w:cs="Times New Roman" w:eastAsia="Times New Roman" w:hAnsi="Times New Roman"/>
          <w:sz w:val="28"/>
          <w:szCs w:val="28"/>
          <w:color w:val="auto"/>
        </w:rPr>
      </w:pPr>
    </w:p>
    <w:p>
      <w:pPr>
        <w:ind w:left="260" w:firstLine="721"/>
        <w:spacing w:after="0" w:line="260" w:lineRule="auto"/>
        <w:tabs>
          <w:tab w:leader="none" w:pos="1292" w:val="left"/>
        </w:tabs>
        <w:numPr>
          <w:ilvl w:val="0"/>
          <w:numId w:val="8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Годовые объемы продукции в натуральном выражении базисного и оцениваемого модулей равны соответственно:</w:t>
      </w:r>
    </w:p>
    <w:p>
      <w:pPr>
        <w:ind w:left="980"/>
        <w:spacing w:after="0" w:line="201"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Q</w:t>
      </w:r>
      <w:r>
        <w:rPr>
          <w:rFonts w:ascii="Times New Roman" w:cs="Times New Roman" w:eastAsia="Times New Roman" w:hAnsi="Times New Roman"/>
          <w:sz w:val="36"/>
          <w:szCs w:val="36"/>
          <w:color w:val="auto"/>
          <w:vertAlign w:val="subscript"/>
        </w:rPr>
        <w:t>б</w:t>
      </w:r>
      <w:r>
        <w:rPr>
          <w:rFonts w:ascii="Times New Roman" w:cs="Times New Roman" w:eastAsia="Times New Roman" w:hAnsi="Times New Roman"/>
          <w:sz w:val="28"/>
          <w:szCs w:val="28"/>
          <w:color w:val="auto"/>
        </w:rPr>
        <w:t xml:space="preserve"> = 180 тыс. деталей и Q = 187 тыс. деталей.</w:t>
      </w:r>
    </w:p>
    <w:p>
      <w:pPr>
        <w:spacing w:after="0" w:line="1" w:lineRule="exact"/>
        <w:rPr>
          <w:rFonts w:ascii="Times New Roman" w:cs="Times New Roman" w:eastAsia="Times New Roman" w:hAnsi="Times New Roman"/>
          <w:sz w:val="28"/>
          <w:szCs w:val="28"/>
          <w:color w:val="auto"/>
        </w:rPr>
      </w:pPr>
    </w:p>
    <w:p>
      <w:pPr>
        <w:ind w:left="260" w:firstLine="722"/>
        <w:spacing w:after="0" w:line="260" w:lineRule="auto"/>
        <w:tabs>
          <w:tab w:leader="none" w:pos="1364" w:val="left"/>
        </w:tabs>
        <w:numPr>
          <w:ilvl w:val="0"/>
          <w:numId w:val="8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Годовые эксплуатационные издержки (без их амортизации) для базисного и оцениваемого модулей:</w:t>
      </w:r>
    </w:p>
    <w:p>
      <w:pPr>
        <w:ind w:left="980"/>
        <w:spacing w:after="0" w:line="202" w:lineRule="auto"/>
        <w:rPr>
          <w:sz w:val="20"/>
          <w:szCs w:val="20"/>
          <w:color w:val="auto"/>
        </w:rPr>
      </w:pPr>
      <w:r>
        <w:rPr>
          <w:rFonts w:ascii="Times New Roman" w:cs="Times New Roman" w:eastAsia="Times New Roman" w:hAnsi="Times New Roman"/>
          <w:sz w:val="28"/>
          <w:szCs w:val="28"/>
          <w:color w:val="auto"/>
        </w:rPr>
        <w:t>И</w:t>
      </w:r>
      <w:r>
        <w:rPr>
          <w:rFonts w:ascii="Times New Roman" w:cs="Times New Roman" w:eastAsia="Times New Roman" w:hAnsi="Times New Roman"/>
          <w:sz w:val="36"/>
          <w:szCs w:val="36"/>
          <w:color w:val="auto"/>
          <w:vertAlign w:val="subscript"/>
        </w:rPr>
        <w:t>б</w:t>
      </w:r>
      <w:r>
        <w:rPr>
          <w:rFonts w:ascii="Times New Roman" w:cs="Times New Roman" w:eastAsia="Times New Roman" w:hAnsi="Times New Roman"/>
          <w:sz w:val="28"/>
          <w:szCs w:val="28"/>
          <w:color w:val="auto"/>
        </w:rPr>
        <w:t xml:space="preserve"> = 1 470 000 руб. и И = 1 520 000 руб.</w:t>
      </w:r>
    </w:p>
    <w:p>
      <w:pPr>
        <w:ind w:left="1260" w:hanging="278"/>
        <w:spacing w:after="0"/>
        <w:tabs>
          <w:tab w:leader="none" w:pos="1260" w:val="left"/>
        </w:tabs>
        <w:numPr>
          <w:ilvl w:val="0"/>
          <w:numId w:val="8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Ставка дисконта r = 0,25.</w:t>
      </w:r>
    </w:p>
    <w:p>
      <w:pPr>
        <w:spacing w:after="0" w:line="27" w:lineRule="exact"/>
        <w:rPr>
          <w:rFonts w:ascii="Times New Roman" w:cs="Times New Roman" w:eastAsia="Times New Roman" w:hAnsi="Times New Roman"/>
          <w:sz w:val="28"/>
          <w:szCs w:val="28"/>
          <w:color w:val="auto"/>
        </w:rPr>
      </w:pPr>
    </w:p>
    <w:p>
      <w:pPr>
        <w:ind w:left="980" w:firstLine="2"/>
        <w:spacing w:after="0" w:line="226" w:lineRule="auto"/>
        <w:tabs>
          <w:tab w:leader="none" w:pos="1263" w:val="left"/>
        </w:tabs>
        <w:numPr>
          <w:ilvl w:val="0"/>
          <w:numId w:val="8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Коэффициенты амортизации при сроке службы модулей 7 лет равны: k</w:t>
      </w:r>
      <w:r>
        <w:rPr>
          <w:rFonts w:ascii="Times New Roman" w:cs="Times New Roman" w:eastAsia="Times New Roman" w:hAnsi="Times New Roman"/>
          <w:sz w:val="36"/>
          <w:szCs w:val="36"/>
          <w:color w:val="auto"/>
          <w:vertAlign w:val="subscript"/>
        </w:rPr>
        <w:t>а.б</w:t>
      </w:r>
      <w:r>
        <w:rPr>
          <w:rFonts w:ascii="Times New Roman" w:cs="Times New Roman" w:eastAsia="Times New Roman" w:hAnsi="Times New Roman"/>
          <w:sz w:val="28"/>
          <w:szCs w:val="28"/>
          <w:color w:val="auto"/>
        </w:rPr>
        <w:t xml:space="preserve"> =0,15; k</w:t>
      </w:r>
      <w:r>
        <w:rPr>
          <w:rFonts w:ascii="Times New Roman" w:cs="Times New Roman" w:eastAsia="Times New Roman" w:hAnsi="Times New Roman"/>
          <w:sz w:val="36"/>
          <w:szCs w:val="36"/>
          <w:color w:val="auto"/>
          <w:vertAlign w:val="subscript"/>
        </w:rPr>
        <w:t>а</w:t>
      </w:r>
      <w:r>
        <w:rPr>
          <w:rFonts w:ascii="Times New Roman" w:cs="Times New Roman" w:eastAsia="Times New Roman" w:hAnsi="Times New Roman"/>
          <w:sz w:val="28"/>
          <w:szCs w:val="28"/>
          <w:color w:val="auto"/>
        </w:rPr>
        <w:t xml:space="preserve"> =0,15.</w:t>
      </w:r>
    </w:p>
    <w:p>
      <w:pPr>
        <w:spacing w:after="0" w:line="273" w:lineRule="exact"/>
        <w:rPr>
          <w:sz w:val="20"/>
          <w:szCs w:val="20"/>
          <w:color w:val="auto"/>
        </w:rPr>
      </w:pPr>
    </w:p>
    <w:p>
      <w:pPr>
        <w:ind w:left="980"/>
        <w:spacing w:after="0"/>
        <w:rPr>
          <w:sz w:val="20"/>
          <w:szCs w:val="20"/>
          <w:color w:val="auto"/>
        </w:rPr>
      </w:pPr>
      <w:r>
        <w:rPr>
          <w:rFonts w:ascii="Times New Roman" w:cs="Times New Roman" w:eastAsia="Times New Roman" w:hAnsi="Times New Roman"/>
          <w:sz w:val="28"/>
          <w:szCs w:val="28"/>
          <w:u w:val="single" w:color="auto"/>
          <w:color w:val="auto"/>
        </w:rPr>
        <w:t>Решение.</w:t>
      </w:r>
    </w:p>
    <w:p>
      <w:pPr>
        <w:ind w:left="260" w:firstLine="720"/>
        <w:spacing w:after="0" w:line="271" w:lineRule="auto"/>
        <w:rPr>
          <w:sz w:val="20"/>
          <w:szCs w:val="20"/>
          <w:color w:val="auto"/>
        </w:rPr>
      </w:pPr>
      <w:r>
        <w:rPr>
          <w:rFonts w:ascii="Times New Roman" w:cs="Times New Roman" w:eastAsia="Times New Roman" w:hAnsi="Times New Roman"/>
          <w:sz w:val="28"/>
          <w:szCs w:val="28"/>
          <w:i w:val="1"/>
          <w:iCs w:val="1"/>
          <w:color w:val="auto"/>
        </w:rPr>
        <w:t xml:space="preserve">Метод равноэффективного аналога. </w:t>
      </w:r>
      <w:r>
        <w:rPr>
          <w:rFonts w:ascii="Times New Roman" w:cs="Times New Roman" w:eastAsia="Times New Roman" w:hAnsi="Times New Roman"/>
          <w:sz w:val="28"/>
          <w:szCs w:val="28"/>
          <w:color w:val="auto"/>
        </w:rPr>
        <w:t>При этом методе подбирается</w:t>
      </w:r>
      <w:r>
        <w:rPr>
          <w:rFonts w:ascii="Times New Roman" w:cs="Times New Roman" w:eastAsia="Times New Roman" w:hAnsi="Times New Roman"/>
          <w:sz w:val="28"/>
          <w:szCs w:val="28"/>
          <w:i w:val="1"/>
          <w:iCs w:val="1"/>
          <w:color w:val="auto"/>
        </w:rPr>
        <w:t xml:space="preserve"> </w:t>
      </w:r>
      <w:r>
        <w:rPr>
          <w:rFonts w:ascii="Times New Roman" w:cs="Times New Roman" w:eastAsia="Times New Roman" w:hAnsi="Times New Roman"/>
          <w:sz w:val="28"/>
          <w:szCs w:val="28"/>
          <w:color w:val="auto"/>
        </w:rPr>
        <w:t>функциональный аналог (базисный объект), который выполняет одинаковые</w:t>
      </w:r>
    </w:p>
    <w:p>
      <w:pPr>
        <w:sectPr>
          <w:pgSz w:w="11900" w:h="16840" w:orient="portrait"/>
          <w:cols w:equalWidth="0" w:num="1">
            <w:col w:w="9620"/>
          </w:cols>
          <w:pgMar w:left="1440" w:top="1112" w:right="844" w:bottom="163" w:gutter="0" w:footer="0" w:header="0"/>
        </w:sectPr>
      </w:pPr>
    </w:p>
    <w:p>
      <w:pPr>
        <w:spacing w:after="0" w:line="119" w:lineRule="exact"/>
        <w:rPr>
          <w:sz w:val="20"/>
          <w:szCs w:val="20"/>
          <w:color w:val="auto"/>
        </w:rPr>
      </w:pPr>
    </w:p>
    <w:p>
      <w:pPr>
        <w:ind w:left="9380"/>
        <w:spacing w:after="0"/>
        <w:rPr>
          <w:sz w:val="20"/>
          <w:szCs w:val="20"/>
          <w:color w:val="auto"/>
        </w:rPr>
      </w:pPr>
      <w:r>
        <w:rPr>
          <w:rFonts w:ascii="Times New Roman" w:cs="Times New Roman" w:eastAsia="Times New Roman" w:hAnsi="Times New Roman"/>
          <w:sz w:val="24"/>
          <w:szCs w:val="24"/>
          <w:color w:val="auto"/>
        </w:rPr>
        <w:t>33</w:t>
      </w:r>
    </w:p>
    <w:p>
      <w:pPr>
        <w:sectPr>
          <w:pgSz w:w="11900" w:h="16840" w:orient="portrait"/>
          <w:cols w:equalWidth="0" w:num="1">
            <w:col w:w="9620"/>
          </w:cols>
          <w:pgMar w:left="1440" w:top="1112" w:right="844" w:bottom="163" w:gutter="0" w:footer="0" w:header="0"/>
          <w:type w:val="continuous"/>
        </w:sectPr>
      </w:pPr>
    </w:p>
    <w:p>
      <w:pPr>
        <w:jc w:val="both"/>
        <w:ind w:left="260" w:firstLine="2"/>
        <w:spacing w:after="0"/>
        <w:tabs>
          <w:tab w:leader="none" w:pos="501" w:val="left"/>
        </w:tabs>
        <w:numPr>
          <w:ilvl w:val="0"/>
          <w:numId w:val="8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оцениваемым объектом функции, но может отличаться от него по таким техническим характеристикам, как производительность, срок службы, качество изготовляемой с его помощью продукции, и другим показателям.</w:t>
      </w:r>
    </w:p>
    <w:p>
      <w:pPr>
        <w:ind w:left="1320" w:hanging="338"/>
        <w:spacing w:after="0"/>
        <w:tabs>
          <w:tab w:leader="none" w:pos="1320" w:val="left"/>
        </w:tabs>
        <w:numPr>
          <w:ilvl w:val="1"/>
          <w:numId w:val="8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этом методе оценивается доход от объекта, но не в полном его</w:t>
      </w:r>
    </w:p>
    <w:p>
      <w:pPr>
        <w:spacing w:after="0" w:line="27" w:lineRule="exact"/>
        <w:rPr>
          <w:sz w:val="20"/>
          <w:szCs w:val="20"/>
          <w:color w:val="auto"/>
        </w:rPr>
      </w:pPr>
    </w:p>
    <w:p>
      <w:pPr>
        <w:jc w:val="both"/>
        <w:ind w:left="260"/>
        <w:spacing w:after="0" w:line="259" w:lineRule="auto"/>
        <w:rPr>
          <w:sz w:val="20"/>
          <w:szCs w:val="20"/>
          <w:color w:val="auto"/>
        </w:rPr>
      </w:pPr>
      <w:r>
        <w:rPr>
          <w:rFonts w:ascii="Times New Roman" w:cs="Times New Roman" w:eastAsia="Times New Roman" w:hAnsi="Times New Roman"/>
          <w:sz w:val="28"/>
          <w:szCs w:val="28"/>
          <w:color w:val="auto"/>
        </w:rPr>
        <w:t>объеме, а только в той его части, на которую доход оцениваемого объекта отличается от дохода функционального аналога.</w:t>
      </w:r>
    </w:p>
    <w:p>
      <w:pPr>
        <w:spacing w:after="0" w:line="2" w:lineRule="exact"/>
        <w:rPr>
          <w:sz w:val="20"/>
          <w:szCs w:val="20"/>
          <w:color w:val="auto"/>
        </w:rPr>
      </w:pPr>
    </w:p>
    <w:p>
      <w:pPr>
        <w:jc w:val="both"/>
        <w:ind w:left="260" w:firstLine="720"/>
        <w:spacing w:after="0" w:line="266" w:lineRule="auto"/>
        <w:rPr>
          <w:sz w:val="20"/>
          <w:szCs w:val="20"/>
          <w:color w:val="auto"/>
        </w:rPr>
      </w:pPr>
      <w:r>
        <w:rPr>
          <w:rFonts w:ascii="Times New Roman" w:cs="Times New Roman" w:eastAsia="Times New Roman" w:hAnsi="Times New Roman"/>
          <w:sz w:val="28"/>
          <w:szCs w:val="28"/>
          <w:color w:val="auto"/>
        </w:rPr>
        <w:t>Стоимость объекта выводится из цены базисного аналога при условии обеспечения их равной прибыльности. Метод базируется на положениях теории эффективности техники. Математическая модель получается из формулы для расчета сравнительного экономического эффекта, если предположить, что разность эффектов сравниваемых объектов равна нулю (условие равноэффективности):</w:t>
      </w:r>
    </w:p>
    <w:p>
      <w:pPr>
        <w:spacing w:after="0" w:line="308" w:lineRule="exact"/>
        <w:rPr>
          <w:sz w:val="20"/>
          <w:szCs w:val="20"/>
          <w:color w:val="auto"/>
        </w:rPr>
      </w:pPr>
    </w:p>
    <w:tbl>
      <w:tblPr>
        <w:tblLayout w:type="fixed"/>
        <w:tblInd w:w="1980" w:type="dxa"/>
        <w:tblCellMar>
          <w:top w:w="0" w:type="dxa"/>
          <w:left w:w="0" w:type="dxa"/>
          <w:bottom w:w="0" w:type="dxa"/>
          <w:right w:w="0" w:type="dxa"/>
        </w:tblCellMar>
      </w:tblPr>
      <w:tr>
        <w:trPr>
          <w:trHeight w:val="536"/>
        </w:trPr>
        <w:tc>
          <w:tcPr>
            <w:tcW w:w="1800" w:type="dxa"/>
            <w:vAlign w:val="bottom"/>
            <w:gridSpan w:val="2"/>
          </w:tcPr>
          <w:p>
            <w:pPr>
              <w:ind w:left="660"/>
              <w:spacing w:after="0"/>
              <w:rPr>
                <w:sz w:val="20"/>
                <w:szCs w:val="20"/>
                <w:color w:val="auto"/>
              </w:rPr>
            </w:pPr>
            <w:r>
              <w:rPr>
                <w:rFonts w:ascii="Symbol" w:cs="Symbol" w:eastAsia="Symbol" w:hAnsi="Symbol"/>
                <w:sz w:val="37"/>
                <w:szCs w:val="37"/>
                <w:color w:val="auto"/>
              </w:rPr>
              <w:t></w:t>
            </w:r>
          </w:p>
        </w:tc>
        <w:tc>
          <w:tcPr>
            <w:tcW w:w="860" w:type="dxa"/>
            <w:vAlign w:val="bottom"/>
            <w:gridSpan w:val="2"/>
          </w:tcPr>
          <w:p>
            <w:pPr>
              <w:ind w:left="100"/>
              <w:spacing w:after="0"/>
              <w:rPr>
                <w:sz w:val="20"/>
                <w:szCs w:val="20"/>
                <w:color w:val="auto"/>
              </w:rPr>
            </w:pPr>
            <w:r>
              <w:rPr>
                <w:rFonts w:ascii="Times New Roman" w:cs="Times New Roman" w:eastAsia="Times New Roman" w:hAnsi="Times New Roman"/>
                <w:sz w:val="37"/>
                <w:szCs w:val="37"/>
                <w:color w:val="auto"/>
              </w:rPr>
              <w:t>И</w:t>
            </w:r>
            <w:r>
              <w:rPr>
                <w:rFonts w:ascii="Times New Roman" w:cs="Times New Roman" w:eastAsia="Times New Roman" w:hAnsi="Times New Roman"/>
                <w:sz w:val="42"/>
                <w:szCs w:val="42"/>
                <w:color w:val="auto"/>
                <w:vertAlign w:val="subscript"/>
              </w:rPr>
              <w:t>б</w:t>
            </w:r>
          </w:p>
        </w:tc>
        <w:tc>
          <w:tcPr>
            <w:tcW w:w="240" w:type="dxa"/>
            <w:vAlign w:val="bottom"/>
          </w:tcPr>
          <w:p>
            <w:pPr>
              <w:ind w:left="40"/>
              <w:spacing w:after="0"/>
              <w:rPr>
                <w:sz w:val="20"/>
                <w:szCs w:val="20"/>
                <w:color w:val="auto"/>
              </w:rPr>
            </w:pPr>
            <w:r>
              <w:rPr>
                <w:rFonts w:ascii="Symbol" w:cs="Symbol" w:eastAsia="Symbol" w:hAnsi="Symbol"/>
                <w:sz w:val="37"/>
                <w:szCs w:val="37"/>
                <w:color w:val="auto"/>
              </w:rPr>
              <w:t></w:t>
            </w:r>
          </w:p>
        </w:tc>
        <w:tc>
          <w:tcPr>
            <w:tcW w:w="720" w:type="dxa"/>
            <w:vAlign w:val="bottom"/>
            <w:gridSpan w:val="3"/>
          </w:tcPr>
          <w:p>
            <w:pPr>
              <w:jc w:val="right"/>
              <w:ind w:right="20"/>
              <w:spacing w:after="0"/>
              <w:rPr>
                <w:sz w:val="20"/>
                <w:szCs w:val="20"/>
                <w:color w:val="auto"/>
              </w:rPr>
            </w:pPr>
            <w:r>
              <w:rPr>
                <w:rFonts w:ascii="Times New Roman" w:cs="Times New Roman" w:eastAsia="Times New Roman" w:hAnsi="Times New Roman"/>
                <w:sz w:val="37"/>
                <w:szCs w:val="37"/>
                <w:i w:val="1"/>
                <w:iCs w:val="1"/>
                <w:color w:val="auto"/>
              </w:rPr>
              <w:t>Q k</w:t>
            </w:r>
          </w:p>
        </w:tc>
        <w:tc>
          <w:tcPr>
            <w:tcW w:w="320" w:type="dxa"/>
            <w:vAlign w:val="bottom"/>
          </w:tcPr>
          <w:p>
            <w:pPr>
              <w:spacing w:after="0"/>
              <w:rPr>
                <w:sz w:val="20"/>
                <w:szCs w:val="20"/>
                <w:color w:val="auto"/>
              </w:rPr>
            </w:pPr>
            <w:r>
              <w:rPr>
                <w:rFonts w:ascii="Times New Roman" w:cs="Times New Roman" w:eastAsia="Times New Roman" w:hAnsi="Times New Roman"/>
                <w:sz w:val="21"/>
                <w:szCs w:val="21"/>
                <w:color w:val="auto"/>
              </w:rPr>
              <w:t>а.б</w:t>
            </w:r>
          </w:p>
        </w:tc>
        <w:tc>
          <w:tcPr>
            <w:tcW w:w="1100" w:type="dxa"/>
            <w:vAlign w:val="bottom"/>
            <w:gridSpan w:val="3"/>
          </w:tcPr>
          <w:p>
            <w:pPr>
              <w:ind w:left="60"/>
              <w:spacing w:after="0"/>
              <w:rPr>
                <w:sz w:val="20"/>
                <w:szCs w:val="20"/>
                <w:color w:val="auto"/>
              </w:rPr>
            </w:pPr>
            <w:r>
              <w:rPr>
                <w:rFonts w:ascii="Symbol" w:cs="Symbol" w:eastAsia="Symbol" w:hAnsi="Symbol"/>
                <w:sz w:val="37"/>
                <w:szCs w:val="37"/>
                <w:color w:val="auto"/>
              </w:rPr>
              <w:t></w:t>
            </w:r>
            <w:r>
              <w:rPr>
                <w:rFonts w:ascii="Times New Roman" w:cs="Times New Roman" w:eastAsia="Times New Roman" w:hAnsi="Times New Roman"/>
                <w:sz w:val="37"/>
                <w:szCs w:val="37"/>
                <w:i w:val="1"/>
                <w:iCs w:val="1"/>
                <w:color w:val="auto"/>
              </w:rPr>
              <w:t xml:space="preserve"> r</w:t>
            </w:r>
          </w:p>
        </w:tc>
        <w:tc>
          <w:tcPr>
            <w:tcW w:w="100" w:type="dxa"/>
            <w:vAlign w:val="bottom"/>
          </w:tcPr>
          <w:p>
            <w:pPr>
              <w:spacing w:after="0"/>
              <w:rPr>
                <w:sz w:val="24"/>
                <w:szCs w:val="24"/>
                <w:color w:val="auto"/>
              </w:rPr>
            </w:pPr>
          </w:p>
        </w:tc>
        <w:tc>
          <w:tcPr>
            <w:tcW w:w="820" w:type="dxa"/>
            <w:vAlign w:val="bottom"/>
            <w:gridSpan w:val="2"/>
          </w:tcPr>
          <w:p>
            <w:pPr>
              <w:spacing w:after="0"/>
              <w:rPr>
                <w:sz w:val="20"/>
                <w:szCs w:val="20"/>
                <w:color w:val="auto"/>
              </w:rPr>
            </w:pPr>
            <w:r>
              <w:rPr>
                <w:rFonts w:ascii="Times New Roman" w:cs="Times New Roman" w:eastAsia="Times New Roman" w:hAnsi="Times New Roman"/>
                <w:sz w:val="37"/>
                <w:szCs w:val="37"/>
                <w:color w:val="auto"/>
              </w:rPr>
              <w:t>И</w:t>
            </w:r>
          </w:p>
        </w:tc>
        <w:tc>
          <w:tcPr>
            <w:tcW w:w="0" w:type="dxa"/>
            <w:vAlign w:val="bottom"/>
          </w:tcPr>
          <w:p>
            <w:pPr>
              <w:spacing w:after="0"/>
              <w:rPr>
                <w:sz w:val="1"/>
                <w:szCs w:val="1"/>
                <w:color w:val="auto"/>
              </w:rPr>
            </w:pPr>
          </w:p>
        </w:tc>
      </w:tr>
      <w:tr>
        <w:trPr>
          <w:trHeight w:val="52"/>
        </w:trPr>
        <w:tc>
          <w:tcPr>
            <w:tcW w:w="1600" w:type="dxa"/>
            <w:vAlign w:val="bottom"/>
            <w:vMerge w:val="restart"/>
          </w:tcPr>
          <w:p>
            <w:pPr>
              <w:ind w:left="660"/>
              <w:spacing w:after="0" w:line="130" w:lineRule="exact"/>
              <w:rPr>
                <w:sz w:val="20"/>
                <w:szCs w:val="20"/>
                <w:color w:val="auto"/>
              </w:rPr>
            </w:pPr>
            <w:r>
              <w:rPr>
                <w:rFonts w:ascii="Symbol" w:cs="Symbol" w:eastAsia="Symbol" w:hAnsi="Symbol"/>
                <w:sz w:val="14"/>
                <w:szCs w:val="14"/>
                <w:color w:val="auto"/>
              </w:rPr>
              <w:t></w:t>
            </w:r>
          </w:p>
        </w:tc>
        <w:tc>
          <w:tcPr>
            <w:tcW w:w="200" w:type="dxa"/>
            <w:vAlign w:val="bottom"/>
            <w:tcBorders>
              <w:bottom w:val="single" w:sz="8" w:color="auto"/>
            </w:tcBorders>
          </w:tcPr>
          <w:p>
            <w:pPr>
              <w:spacing w:after="0"/>
              <w:rPr>
                <w:sz w:val="4"/>
                <w:szCs w:val="4"/>
                <w:color w:val="auto"/>
              </w:rPr>
            </w:pPr>
          </w:p>
        </w:tc>
        <w:tc>
          <w:tcPr>
            <w:tcW w:w="340" w:type="dxa"/>
            <w:vAlign w:val="bottom"/>
            <w:tcBorders>
              <w:bottom w:val="single" w:sz="8" w:color="auto"/>
            </w:tcBorders>
          </w:tcPr>
          <w:p>
            <w:pPr>
              <w:spacing w:after="0"/>
              <w:rPr>
                <w:sz w:val="4"/>
                <w:szCs w:val="4"/>
                <w:color w:val="auto"/>
              </w:rPr>
            </w:pPr>
          </w:p>
        </w:tc>
        <w:tc>
          <w:tcPr>
            <w:tcW w:w="520" w:type="dxa"/>
            <w:vAlign w:val="bottom"/>
            <w:tcBorders>
              <w:bottom w:val="single" w:sz="8" w:color="auto"/>
            </w:tcBorders>
          </w:tcPr>
          <w:p>
            <w:pPr>
              <w:spacing w:after="0"/>
              <w:rPr>
                <w:sz w:val="4"/>
                <w:szCs w:val="4"/>
                <w:color w:val="auto"/>
              </w:rPr>
            </w:pPr>
          </w:p>
        </w:tc>
        <w:tc>
          <w:tcPr>
            <w:tcW w:w="240" w:type="dxa"/>
            <w:vAlign w:val="bottom"/>
            <w:vMerge w:val="restart"/>
          </w:tcPr>
          <w:p>
            <w:pPr>
              <w:ind w:left="40"/>
              <w:spacing w:after="0" w:line="130" w:lineRule="exact"/>
              <w:rPr>
                <w:sz w:val="20"/>
                <w:szCs w:val="20"/>
                <w:color w:val="auto"/>
              </w:rPr>
            </w:pPr>
            <w:r>
              <w:rPr>
                <w:rFonts w:ascii="Symbol" w:cs="Symbol" w:eastAsia="Symbol" w:hAnsi="Symbol"/>
                <w:sz w:val="14"/>
                <w:szCs w:val="14"/>
                <w:color w:val="auto"/>
              </w:rPr>
              <w:t></w:t>
            </w:r>
          </w:p>
        </w:tc>
        <w:tc>
          <w:tcPr>
            <w:tcW w:w="440" w:type="dxa"/>
            <w:vAlign w:val="bottom"/>
            <w:tcBorders>
              <w:bottom w:val="single" w:sz="8" w:color="auto"/>
            </w:tcBorders>
          </w:tcPr>
          <w:p>
            <w:pPr>
              <w:spacing w:after="0"/>
              <w:rPr>
                <w:sz w:val="4"/>
                <w:szCs w:val="4"/>
                <w:color w:val="auto"/>
              </w:rPr>
            </w:pPr>
          </w:p>
        </w:tc>
        <w:tc>
          <w:tcPr>
            <w:tcW w:w="80" w:type="dxa"/>
            <w:vAlign w:val="bottom"/>
          </w:tcPr>
          <w:p>
            <w:pPr>
              <w:spacing w:after="0"/>
              <w:rPr>
                <w:sz w:val="4"/>
                <w:szCs w:val="4"/>
                <w:color w:val="auto"/>
              </w:rPr>
            </w:pPr>
          </w:p>
        </w:tc>
        <w:tc>
          <w:tcPr>
            <w:tcW w:w="200" w:type="dxa"/>
            <w:vAlign w:val="bottom"/>
            <w:tcBorders>
              <w:bottom w:val="single" w:sz="8" w:color="auto"/>
            </w:tcBorders>
          </w:tcPr>
          <w:p>
            <w:pPr>
              <w:spacing w:after="0"/>
              <w:rPr>
                <w:sz w:val="4"/>
                <w:szCs w:val="4"/>
                <w:color w:val="auto"/>
              </w:rPr>
            </w:pPr>
          </w:p>
        </w:tc>
        <w:tc>
          <w:tcPr>
            <w:tcW w:w="320" w:type="dxa"/>
            <w:vAlign w:val="bottom"/>
            <w:tcBorders>
              <w:bottom w:val="single" w:sz="8" w:color="auto"/>
            </w:tcBorders>
          </w:tcPr>
          <w:p>
            <w:pPr>
              <w:spacing w:after="0"/>
              <w:rPr>
                <w:sz w:val="4"/>
                <w:szCs w:val="4"/>
                <w:color w:val="auto"/>
              </w:rPr>
            </w:pPr>
          </w:p>
        </w:tc>
        <w:tc>
          <w:tcPr>
            <w:tcW w:w="520" w:type="dxa"/>
            <w:vAlign w:val="bottom"/>
            <w:tcBorders>
              <w:bottom w:val="single" w:sz="8" w:color="auto"/>
            </w:tcBorders>
          </w:tcPr>
          <w:p>
            <w:pPr>
              <w:spacing w:after="0"/>
              <w:rPr>
                <w:sz w:val="4"/>
                <w:szCs w:val="4"/>
                <w:color w:val="auto"/>
              </w:rPr>
            </w:pPr>
          </w:p>
        </w:tc>
        <w:tc>
          <w:tcPr>
            <w:tcW w:w="380" w:type="dxa"/>
            <w:vAlign w:val="bottom"/>
          </w:tcPr>
          <w:p>
            <w:pPr>
              <w:spacing w:after="0"/>
              <w:rPr>
                <w:sz w:val="4"/>
                <w:szCs w:val="4"/>
                <w:color w:val="auto"/>
              </w:rPr>
            </w:pPr>
          </w:p>
        </w:tc>
        <w:tc>
          <w:tcPr>
            <w:tcW w:w="200" w:type="dxa"/>
            <w:vAlign w:val="bottom"/>
            <w:tcBorders>
              <w:bottom w:val="single" w:sz="8" w:color="auto"/>
            </w:tcBorders>
          </w:tcPr>
          <w:p>
            <w:pPr>
              <w:spacing w:after="0"/>
              <w:rPr>
                <w:sz w:val="4"/>
                <w:szCs w:val="4"/>
                <w:color w:val="auto"/>
              </w:rPr>
            </w:pPr>
          </w:p>
        </w:tc>
        <w:tc>
          <w:tcPr>
            <w:tcW w:w="100" w:type="dxa"/>
            <w:vAlign w:val="bottom"/>
            <w:tcBorders>
              <w:bottom w:val="single" w:sz="8" w:color="auto"/>
            </w:tcBorders>
          </w:tcPr>
          <w:p>
            <w:pPr>
              <w:spacing w:after="0"/>
              <w:rPr>
                <w:sz w:val="4"/>
                <w:szCs w:val="4"/>
                <w:color w:val="auto"/>
              </w:rPr>
            </w:pPr>
          </w:p>
        </w:tc>
        <w:tc>
          <w:tcPr>
            <w:tcW w:w="580" w:type="dxa"/>
            <w:vAlign w:val="bottom"/>
            <w:tcBorders>
              <w:bottom w:val="single" w:sz="8" w:color="auto"/>
            </w:tcBorders>
          </w:tcPr>
          <w:p>
            <w:pPr>
              <w:spacing w:after="0"/>
              <w:rPr>
                <w:sz w:val="4"/>
                <w:szCs w:val="4"/>
                <w:color w:val="auto"/>
              </w:rPr>
            </w:pPr>
          </w:p>
        </w:tc>
        <w:tc>
          <w:tcPr>
            <w:tcW w:w="240" w:type="dxa"/>
            <w:vAlign w:val="bottom"/>
          </w:tcPr>
          <w:p>
            <w:pPr>
              <w:spacing w:after="0"/>
              <w:rPr>
                <w:sz w:val="4"/>
                <w:szCs w:val="4"/>
                <w:color w:val="auto"/>
              </w:rPr>
            </w:pPr>
          </w:p>
        </w:tc>
        <w:tc>
          <w:tcPr>
            <w:tcW w:w="0" w:type="dxa"/>
            <w:vAlign w:val="bottom"/>
          </w:tcPr>
          <w:p>
            <w:pPr>
              <w:spacing w:after="0"/>
              <w:rPr>
                <w:sz w:val="1"/>
                <w:szCs w:val="1"/>
                <w:color w:val="auto"/>
              </w:rPr>
            </w:pPr>
          </w:p>
        </w:tc>
      </w:tr>
      <w:tr>
        <w:trPr>
          <w:trHeight w:val="57"/>
        </w:trPr>
        <w:tc>
          <w:tcPr>
            <w:tcW w:w="1600" w:type="dxa"/>
            <w:vAlign w:val="bottom"/>
            <w:vMerge w:val="continue"/>
          </w:tcPr>
          <w:p>
            <w:pPr>
              <w:spacing w:after="0"/>
              <w:rPr>
                <w:sz w:val="4"/>
                <w:szCs w:val="4"/>
                <w:color w:val="auto"/>
              </w:rPr>
            </w:pPr>
          </w:p>
        </w:tc>
        <w:tc>
          <w:tcPr>
            <w:tcW w:w="200" w:type="dxa"/>
            <w:vAlign w:val="bottom"/>
          </w:tcPr>
          <w:p>
            <w:pPr>
              <w:spacing w:after="0"/>
              <w:rPr>
                <w:sz w:val="4"/>
                <w:szCs w:val="4"/>
                <w:color w:val="auto"/>
              </w:rPr>
            </w:pPr>
          </w:p>
        </w:tc>
        <w:tc>
          <w:tcPr>
            <w:tcW w:w="340" w:type="dxa"/>
            <w:vAlign w:val="bottom"/>
          </w:tcPr>
          <w:p>
            <w:pPr>
              <w:spacing w:after="0"/>
              <w:rPr>
                <w:sz w:val="4"/>
                <w:szCs w:val="4"/>
                <w:color w:val="auto"/>
              </w:rPr>
            </w:pPr>
          </w:p>
        </w:tc>
        <w:tc>
          <w:tcPr>
            <w:tcW w:w="520" w:type="dxa"/>
            <w:vAlign w:val="bottom"/>
          </w:tcPr>
          <w:p>
            <w:pPr>
              <w:spacing w:after="0"/>
              <w:rPr>
                <w:sz w:val="4"/>
                <w:szCs w:val="4"/>
                <w:color w:val="auto"/>
              </w:rPr>
            </w:pPr>
          </w:p>
        </w:tc>
        <w:tc>
          <w:tcPr>
            <w:tcW w:w="240" w:type="dxa"/>
            <w:vAlign w:val="bottom"/>
            <w:vMerge w:val="continue"/>
          </w:tcPr>
          <w:p>
            <w:pPr>
              <w:spacing w:after="0"/>
              <w:rPr>
                <w:sz w:val="4"/>
                <w:szCs w:val="4"/>
                <w:color w:val="auto"/>
              </w:rPr>
            </w:pPr>
          </w:p>
        </w:tc>
        <w:tc>
          <w:tcPr>
            <w:tcW w:w="440" w:type="dxa"/>
            <w:vAlign w:val="bottom"/>
          </w:tcPr>
          <w:p>
            <w:pPr>
              <w:spacing w:after="0"/>
              <w:rPr>
                <w:sz w:val="4"/>
                <w:szCs w:val="4"/>
                <w:color w:val="auto"/>
              </w:rPr>
            </w:pPr>
          </w:p>
        </w:tc>
        <w:tc>
          <w:tcPr>
            <w:tcW w:w="80" w:type="dxa"/>
            <w:vAlign w:val="bottom"/>
          </w:tcPr>
          <w:p>
            <w:pPr>
              <w:spacing w:after="0"/>
              <w:rPr>
                <w:sz w:val="4"/>
                <w:szCs w:val="4"/>
                <w:color w:val="auto"/>
              </w:rPr>
            </w:pPr>
          </w:p>
        </w:tc>
        <w:tc>
          <w:tcPr>
            <w:tcW w:w="200" w:type="dxa"/>
            <w:vAlign w:val="bottom"/>
          </w:tcPr>
          <w:p>
            <w:pPr>
              <w:spacing w:after="0"/>
              <w:rPr>
                <w:sz w:val="4"/>
                <w:szCs w:val="4"/>
                <w:color w:val="auto"/>
              </w:rPr>
            </w:pPr>
          </w:p>
        </w:tc>
        <w:tc>
          <w:tcPr>
            <w:tcW w:w="320" w:type="dxa"/>
            <w:vAlign w:val="bottom"/>
          </w:tcPr>
          <w:p>
            <w:pPr>
              <w:spacing w:after="0"/>
              <w:rPr>
                <w:sz w:val="4"/>
                <w:szCs w:val="4"/>
                <w:color w:val="auto"/>
              </w:rPr>
            </w:pPr>
          </w:p>
        </w:tc>
        <w:tc>
          <w:tcPr>
            <w:tcW w:w="1100" w:type="dxa"/>
            <w:vAlign w:val="bottom"/>
            <w:gridSpan w:val="3"/>
            <w:vMerge w:val="restart"/>
          </w:tcPr>
          <w:p>
            <w:pPr>
              <w:ind w:left="60"/>
              <w:spacing w:after="0" w:line="367" w:lineRule="exact"/>
              <w:rPr>
                <w:sz w:val="20"/>
                <w:szCs w:val="20"/>
                <w:color w:val="auto"/>
              </w:rPr>
            </w:pPr>
            <w:r>
              <w:rPr>
                <w:rFonts w:ascii="Symbol" w:cs="Symbol" w:eastAsia="Symbol" w:hAnsi="Symbol"/>
                <w:sz w:val="25"/>
                <w:szCs w:val="25"/>
                <w:color w:val="auto"/>
              </w:rPr>
              <w:t></w:t>
            </w:r>
            <w:r>
              <w:rPr>
                <w:rFonts w:ascii="Times New Roman" w:cs="Times New Roman" w:eastAsia="Times New Roman" w:hAnsi="Times New Roman"/>
                <w:sz w:val="25"/>
                <w:szCs w:val="25"/>
                <w:i w:val="1"/>
                <w:iCs w:val="1"/>
                <w:color w:val="auto"/>
              </w:rPr>
              <w:t xml:space="preserve"> r </w:t>
            </w:r>
            <w:r>
              <w:rPr>
                <w:rFonts w:ascii="Symbol" w:cs="Symbol" w:eastAsia="Symbol" w:hAnsi="Symbol"/>
                <w:sz w:val="39"/>
                <w:szCs w:val="39"/>
                <w:color w:val="auto"/>
                <w:vertAlign w:val="superscript"/>
              </w:rPr>
              <w:t></w:t>
            </w:r>
            <w:r>
              <w:rPr>
                <w:rFonts w:ascii="Times New Roman" w:cs="Times New Roman" w:eastAsia="Times New Roman" w:hAnsi="Times New Roman"/>
                <w:sz w:val="25"/>
                <w:szCs w:val="25"/>
                <w:i w:val="1"/>
                <w:iCs w:val="1"/>
                <w:color w:val="auto"/>
              </w:rPr>
              <w:t xml:space="preserve"> k</w:t>
            </w:r>
          </w:p>
        </w:tc>
        <w:tc>
          <w:tcPr>
            <w:tcW w:w="100" w:type="dxa"/>
            <w:vAlign w:val="bottom"/>
          </w:tcPr>
          <w:p>
            <w:pPr>
              <w:spacing w:after="0"/>
              <w:rPr>
                <w:sz w:val="4"/>
                <w:szCs w:val="4"/>
                <w:color w:val="auto"/>
              </w:rPr>
            </w:pPr>
          </w:p>
        </w:tc>
        <w:tc>
          <w:tcPr>
            <w:tcW w:w="820" w:type="dxa"/>
            <w:vAlign w:val="bottom"/>
            <w:gridSpan w:val="2"/>
            <w:vMerge w:val="restart"/>
          </w:tcPr>
          <w:p>
            <w:pPr>
              <w:ind w:left="120"/>
              <w:spacing w:after="0" w:line="367" w:lineRule="exact"/>
              <w:rPr>
                <w:sz w:val="20"/>
                <w:szCs w:val="20"/>
                <w:color w:val="auto"/>
              </w:rPr>
            </w:pPr>
            <w:r>
              <w:rPr>
                <w:rFonts w:ascii="Symbol" w:cs="Symbol" w:eastAsia="Symbol" w:hAnsi="Symbol"/>
                <w:sz w:val="29"/>
                <w:szCs w:val="29"/>
                <w:color w:val="auto"/>
              </w:rPr>
              <w:t></w:t>
            </w:r>
            <w:r>
              <w:rPr>
                <w:rFonts w:ascii="Times New Roman" w:cs="Times New Roman" w:eastAsia="Times New Roman" w:hAnsi="Times New Roman"/>
                <w:sz w:val="29"/>
                <w:szCs w:val="29"/>
                <w:i w:val="1"/>
                <w:iCs w:val="1"/>
                <w:color w:val="auto"/>
              </w:rPr>
              <w:t xml:space="preserve"> r </w:t>
            </w:r>
            <w:r>
              <w:rPr>
                <w:rFonts w:ascii="Times New Roman" w:cs="Times New Roman" w:eastAsia="Times New Roman" w:hAnsi="Times New Roman"/>
                <w:sz w:val="42"/>
                <w:szCs w:val="42"/>
                <w:color w:val="auto"/>
                <w:vertAlign w:val="superscript"/>
              </w:rPr>
              <w:t>,</w:t>
            </w:r>
          </w:p>
        </w:tc>
        <w:tc>
          <w:tcPr>
            <w:tcW w:w="0" w:type="dxa"/>
            <w:vAlign w:val="bottom"/>
          </w:tcPr>
          <w:p>
            <w:pPr>
              <w:spacing w:after="0"/>
              <w:rPr>
                <w:sz w:val="1"/>
                <w:szCs w:val="1"/>
                <w:color w:val="auto"/>
              </w:rPr>
            </w:pPr>
          </w:p>
        </w:tc>
      </w:tr>
      <w:tr>
        <w:trPr>
          <w:trHeight w:val="310"/>
        </w:trPr>
        <w:tc>
          <w:tcPr>
            <w:tcW w:w="1800" w:type="dxa"/>
            <w:vAlign w:val="bottom"/>
            <w:gridSpan w:val="2"/>
          </w:tcPr>
          <w:p>
            <w:pPr>
              <w:spacing w:after="0" w:line="309" w:lineRule="exact"/>
              <w:rPr>
                <w:sz w:val="20"/>
                <w:szCs w:val="20"/>
                <w:color w:val="auto"/>
              </w:rPr>
            </w:pPr>
            <w:r>
              <w:rPr>
                <w:rFonts w:ascii="Times New Roman" w:cs="Times New Roman" w:eastAsia="Times New Roman" w:hAnsi="Times New Roman"/>
                <w:sz w:val="33"/>
                <w:szCs w:val="33"/>
                <w:i w:val="1"/>
                <w:iCs w:val="1"/>
                <w:color w:val="auto"/>
                <w:vertAlign w:val="superscript"/>
              </w:rPr>
              <w:t>C</w:t>
            </w:r>
            <w:r>
              <w:rPr>
                <w:rFonts w:ascii="Times New Roman" w:cs="Times New Roman" w:eastAsia="Times New Roman" w:hAnsi="Times New Roman"/>
                <w:sz w:val="16"/>
                <w:szCs w:val="16"/>
                <w:color w:val="auto"/>
              </w:rPr>
              <w:t xml:space="preserve"> </w:t>
            </w:r>
            <w:r>
              <w:rPr>
                <w:rFonts w:ascii="Symbol" w:cs="Symbol" w:eastAsia="Symbol" w:hAnsi="Symbol"/>
                <w:sz w:val="33"/>
                <w:szCs w:val="33"/>
                <w:color w:val="auto"/>
                <w:vertAlign w:val="superscript"/>
              </w:rPr>
              <w:t></w:t>
            </w:r>
            <w:r>
              <w:rPr>
                <w:rFonts w:ascii="Times New Roman" w:cs="Times New Roman" w:eastAsia="Times New Roman" w:hAnsi="Times New Roman"/>
                <w:sz w:val="16"/>
                <w:szCs w:val="16"/>
                <w:color w:val="auto"/>
              </w:rPr>
              <w:t xml:space="preserve"> </w:t>
            </w:r>
            <w:r>
              <w:rPr>
                <w:rFonts w:ascii="Symbol" w:cs="Symbol" w:eastAsia="Symbol" w:hAnsi="Symbol"/>
                <w:sz w:val="21"/>
                <w:szCs w:val="21"/>
                <w:color w:val="auto"/>
              </w:rPr>
              <w:t></w:t>
            </w:r>
            <w:r>
              <w:rPr>
                <w:rFonts w:ascii="Times New Roman" w:cs="Times New Roman" w:eastAsia="Times New Roman" w:hAnsi="Times New Roman"/>
                <w:sz w:val="33"/>
                <w:szCs w:val="33"/>
                <w:i w:val="1"/>
                <w:iCs w:val="1"/>
                <w:color w:val="auto"/>
                <w:vertAlign w:val="superscript"/>
              </w:rPr>
              <w:t>C</w:t>
            </w:r>
            <w:r>
              <w:rPr>
                <w:rFonts w:ascii="Times New Roman" w:cs="Times New Roman" w:eastAsia="Times New Roman" w:hAnsi="Times New Roman"/>
                <w:sz w:val="16"/>
                <w:szCs w:val="16"/>
                <w:color w:val="auto"/>
              </w:rPr>
              <w:t xml:space="preserve">б </w:t>
            </w:r>
            <w:r>
              <w:rPr>
                <w:rFonts w:ascii="Symbol" w:cs="Symbol" w:eastAsia="Symbol" w:hAnsi="Symbol"/>
                <w:sz w:val="33"/>
                <w:szCs w:val="33"/>
                <w:color w:val="auto"/>
                <w:vertAlign w:val="superscript"/>
              </w:rPr>
              <w:t></w:t>
            </w:r>
            <w:r>
              <w:rPr>
                <w:rFonts w:ascii="Times New Roman" w:cs="Times New Roman" w:eastAsia="Times New Roman" w:hAnsi="Times New Roman"/>
                <w:sz w:val="16"/>
                <w:szCs w:val="16"/>
                <w:color w:val="auto"/>
              </w:rPr>
              <w:t xml:space="preserve"> </w:t>
            </w:r>
            <w:r>
              <w:rPr>
                <w:rFonts w:ascii="Times New Roman" w:cs="Times New Roman" w:eastAsia="Times New Roman" w:hAnsi="Times New Roman"/>
                <w:sz w:val="33"/>
                <w:szCs w:val="33"/>
                <w:i w:val="1"/>
                <w:iCs w:val="1"/>
                <w:color w:val="auto"/>
                <w:vertAlign w:val="subscript"/>
              </w:rPr>
              <w:t>k</w:t>
            </w:r>
          </w:p>
        </w:tc>
        <w:tc>
          <w:tcPr>
            <w:tcW w:w="340" w:type="dxa"/>
            <w:vAlign w:val="bottom"/>
            <w:vMerge w:val="restart"/>
          </w:tcPr>
          <w:p>
            <w:pPr>
              <w:ind w:left="20"/>
              <w:spacing w:after="0"/>
              <w:rPr>
                <w:sz w:val="20"/>
                <w:szCs w:val="20"/>
                <w:color w:val="auto"/>
              </w:rPr>
            </w:pPr>
            <w:r>
              <w:rPr>
                <w:rFonts w:ascii="Times New Roman" w:cs="Times New Roman" w:eastAsia="Times New Roman" w:hAnsi="Times New Roman"/>
                <w:sz w:val="21"/>
                <w:szCs w:val="21"/>
                <w:color w:val="auto"/>
              </w:rPr>
              <w:t>а.б</w:t>
            </w:r>
          </w:p>
        </w:tc>
        <w:tc>
          <w:tcPr>
            <w:tcW w:w="1480" w:type="dxa"/>
            <w:vAlign w:val="bottom"/>
            <w:gridSpan w:val="5"/>
          </w:tcPr>
          <w:p>
            <w:pPr>
              <w:jc w:val="right"/>
              <w:ind w:right="20"/>
              <w:spacing w:after="0" w:line="309" w:lineRule="exact"/>
              <w:rPr>
                <w:sz w:val="20"/>
                <w:szCs w:val="20"/>
                <w:color w:val="auto"/>
              </w:rPr>
            </w:pPr>
            <w:r>
              <w:rPr>
                <w:rFonts w:ascii="Symbol" w:cs="Symbol" w:eastAsia="Symbol" w:hAnsi="Symbol"/>
                <w:sz w:val="23"/>
                <w:szCs w:val="23"/>
                <w:color w:val="auto"/>
              </w:rPr>
              <w:t></w:t>
            </w:r>
            <w:r>
              <w:rPr>
                <w:rFonts w:ascii="Times New Roman" w:cs="Times New Roman" w:eastAsia="Times New Roman" w:hAnsi="Times New Roman"/>
                <w:sz w:val="23"/>
                <w:szCs w:val="23"/>
                <w:i w:val="1"/>
                <w:iCs w:val="1"/>
                <w:color w:val="auto"/>
              </w:rPr>
              <w:t xml:space="preserve"> r </w:t>
            </w:r>
            <w:r>
              <w:rPr>
                <w:rFonts w:ascii="Symbol" w:cs="Symbol" w:eastAsia="Symbol" w:hAnsi="Symbol"/>
                <w:sz w:val="33"/>
                <w:szCs w:val="33"/>
                <w:color w:val="auto"/>
                <w:vertAlign w:val="superscript"/>
              </w:rPr>
              <w:t></w:t>
            </w:r>
            <w:r>
              <w:rPr>
                <w:rFonts w:ascii="Times New Roman" w:cs="Times New Roman" w:eastAsia="Times New Roman" w:hAnsi="Times New Roman"/>
                <w:sz w:val="23"/>
                <w:szCs w:val="23"/>
                <w:i w:val="1"/>
                <w:iCs w:val="1"/>
                <w:color w:val="auto"/>
              </w:rPr>
              <w:t xml:space="preserve"> Q  k</w:t>
            </w:r>
          </w:p>
        </w:tc>
        <w:tc>
          <w:tcPr>
            <w:tcW w:w="320" w:type="dxa"/>
            <w:vAlign w:val="bottom"/>
            <w:vMerge w:val="restart"/>
          </w:tcPr>
          <w:p>
            <w:pPr>
              <w:spacing w:after="0"/>
              <w:rPr>
                <w:sz w:val="20"/>
                <w:szCs w:val="20"/>
                <w:color w:val="auto"/>
              </w:rPr>
            </w:pPr>
            <w:r>
              <w:rPr>
                <w:rFonts w:ascii="Times New Roman" w:cs="Times New Roman" w:eastAsia="Times New Roman" w:hAnsi="Times New Roman"/>
                <w:sz w:val="21"/>
                <w:szCs w:val="21"/>
                <w:color w:val="auto"/>
              </w:rPr>
              <w:t>а.б</w:t>
            </w:r>
          </w:p>
        </w:tc>
        <w:tc>
          <w:tcPr>
            <w:tcW w:w="1100" w:type="dxa"/>
            <w:vAlign w:val="bottom"/>
            <w:gridSpan w:val="3"/>
            <w:vMerge w:val="continue"/>
          </w:tcPr>
          <w:p>
            <w:pPr>
              <w:spacing w:after="0"/>
              <w:rPr>
                <w:sz w:val="24"/>
                <w:szCs w:val="24"/>
                <w:color w:val="auto"/>
              </w:rPr>
            </w:pPr>
          </w:p>
        </w:tc>
        <w:tc>
          <w:tcPr>
            <w:tcW w:w="100" w:type="dxa"/>
            <w:vAlign w:val="bottom"/>
            <w:vMerge w:val="restart"/>
          </w:tcPr>
          <w:p>
            <w:pPr>
              <w:spacing w:after="0"/>
              <w:rPr>
                <w:sz w:val="20"/>
                <w:szCs w:val="20"/>
                <w:color w:val="auto"/>
              </w:rPr>
            </w:pPr>
            <w:r>
              <w:rPr>
                <w:rFonts w:ascii="Times New Roman" w:cs="Times New Roman" w:eastAsia="Times New Roman" w:hAnsi="Times New Roman"/>
                <w:sz w:val="21"/>
                <w:szCs w:val="21"/>
                <w:color w:val="auto"/>
                <w:w w:val="85"/>
              </w:rPr>
              <w:t>а</w:t>
            </w:r>
          </w:p>
        </w:tc>
        <w:tc>
          <w:tcPr>
            <w:tcW w:w="820" w:type="dxa"/>
            <w:vAlign w:val="bottom"/>
            <w:gridSpan w:val="2"/>
            <w:vMerge w:val="continue"/>
          </w:tcPr>
          <w:p>
            <w:pPr>
              <w:spacing w:after="0"/>
              <w:rPr>
                <w:sz w:val="24"/>
                <w:szCs w:val="24"/>
                <w:color w:val="auto"/>
              </w:rPr>
            </w:pPr>
          </w:p>
        </w:tc>
        <w:tc>
          <w:tcPr>
            <w:tcW w:w="0" w:type="dxa"/>
            <w:vAlign w:val="bottom"/>
          </w:tcPr>
          <w:p>
            <w:pPr>
              <w:spacing w:after="0"/>
              <w:rPr>
                <w:sz w:val="1"/>
                <w:szCs w:val="1"/>
                <w:color w:val="auto"/>
              </w:rPr>
            </w:pPr>
          </w:p>
        </w:tc>
      </w:tr>
      <w:tr>
        <w:trPr>
          <w:trHeight w:val="449"/>
        </w:trPr>
        <w:tc>
          <w:tcPr>
            <w:tcW w:w="1800" w:type="dxa"/>
            <w:vAlign w:val="bottom"/>
            <w:gridSpan w:val="2"/>
          </w:tcPr>
          <w:p>
            <w:pPr>
              <w:ind w:left="660"/>
              <w:spacing w:after="0" w:line="448" w:lineRule="exact"/>
              <w:rPr>
                <w:sz w:val="20"/>
                <w:szCs w:val="20"/>
                <w:color w:val="auto"/>
              </w:rPr>
            </w:pPr>
            <w:r>
              <w:rPr>
                <w:rFonts w:ascii="Symbol" w:cs="Symbol" w:eastAsia="Symbol" w:hAnsi="Symbol"/>
                <w:sz w:val="37"/>
                <w:szCs w:val="37"/>
                <w:color w:val="auto"/>
              </w:rPr>
              <w:t></w:t>
            </w:r>
          </w:p>
        </w:tc>
        <w:tc>
          <w:tcPr>
            <w:tcW w:w="340" w:type="dxa"/>
            <w:vAlign w:val="bottom"/>
            <w:vMerge w:val="continue"/>
          </w:tcPr>
          <w:p>
            <w:pPr>
              <w:spacing w:after="0"/>
              <w:rPr>
                <w:sz w:val="24"/>
                <w:szCs w:val="24"/>
                <w:color w:val="auto"/>
              </w:rPr>
            </w:pPr>
          </w:p>
        </w:tc>
        <w:tc>
          <w:tcPr>
            <w:tcW w:w="520" w:type="dxa"/>
            <w:vAlign w:val="bottom"/>
          </w:tcPr>
          <w:p>
            <w:pPr>
              <w:spacing w:after="0"/>
              <w:rPr>
                <w:sz w:val="24"/>
                <w:szCs w:val="24"/>
                <w:color w:val="auto"/>
              </w:rPr>
            </w:pPr>
          </w:p>
        </w:tc>
        <w:tc>
          <w:tcPr>
            <w:tcW w:w="240" w:type="dxa"/>
            <w:vAlign w:val="bottom"/>
          </w:tcPr>
          <w:p>
            <w:pPr>
              <w:ind w:left="40"/>
              <w:spacing w:after="0" w:line="448" w:lineRule="exact"/>
              <w:rPr>
                <w:sz w:val="20"/>
                <w:szCs w:val="20"/>
                <w:color w:val="auto"/>
              </w:rPr>
            </w:pPr>
            <w:r>
              <w:rPr>
                <w:rFonts w:ascii="Symbol" w:cs="Symbol" w:eastAsia="Symbol" w:hAnsi="Symbol"/>
                <w:sz w:val="37"/>
                <w:szCs w:val="37"/>
                <w:color w:val="auto"/>
              </w:rPr>
              <w:t></w:t>
            </w:r>
          </w:p>
        </w:tc>
        <w:tc>
          <w:tcPr>
            <w:tcW w:w="720" w:type="dxa"/>
            <w:vAlign w:val="bottom"/>
            <w:gridSpan w:val="3"/>
          </w:tcPr>
          <w:p>
            <w:pPr>
              <w:jc w:val="right"/>
              <w:ind w:right="340"/>
              <w:spacing w:after="0"/>
              <w:rPr>
                <w:sz w:val="20"/>
                <w:szCs w:val="20"/>
                <w:color w:val="auto"/>
              </w:rPr>
            </w:pPr>
            <w:r>
              <w:rPr>
                <w:rFonts w:ascii="Times New Roman" w:cs="Times New Roman" w:eastAsia="Times New Roman" w:hAnsi="Times New Roman"/>
                <w:sz w:val="21"/>
                <w:szCs w:val="21"/>
                <w:color w:val="auto"/>
              </w:rPr>
              <w:t>б</w:t>
            </w:r>
          </w:p>
        </w:tc>
        <w:tc>
          <w:tcPr>
            <w:tcW w:w="320" w:type="dxa"/>
            <w:vAlign w:val="bottom"/>
            <w:vMerge w:val="continue"/>
          </w:tcPr>
          <w:p>
            <w:pPr>
              <w:spacing w:after="0"/>
              <w:rPr>
                <w:sz w:val="24"/>
                <w:szCs w:val="24"/>
                <w:color w:val="auto"/>
              </w:rPr>
            </w:pPr>
          </w:p>
        </w:tc>
        <w:tc>
          <w:tcPr>
            <w:tcW w:w="520" w:type="dxa"/>
            <w:vAlign w:val="bottom"/>
          </w:tcPr>
          <w:p>
            <w:pPr>
              <w:spacing w:after="0"/>
              <w:rPr>
                <w:sz w:val="24"/>
                <w:szCs w:val="24"/>
                <w:color w:val="auto"/>
              </w:rPr>
            </w:pPr>
          </w:p>
        </w:tc>
        <w:tc>
          <w:tcPr>
            <w:tcW w:w="3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00" w:type="dxa"/>
            <w:vAlign w:val="bottom"/>
            <w:vMerge w:val="continue"/>
          </w:tcPr>
          <w:p>
            <w:pPr>
              <w:spacing w:after="0"/>
              <w:rPr>
                <w:sz w:val="24"/>
                <w:szCs w:val="24"/>
                <w:color w:val="auto"/>
              </w:rPr>
            </w:pPr>
          </w:p>
        </w:tc>
        <w:tc>
          <w:tcPr>
            <w:tcW w:w="58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0" w:type="dxa"/>
            <w:vAlign w:val="bottom"/>
          </w:tcPr>
          <w:p>
            <w:pPr>
              <w:spacing w:after="0"/>
              <w:rPr>
                <w:sz w:val="1"/>
                <w:szCs w:val="1"/>
                <w:color w:val="auto"/>
              </w:rPr>
            </w:pPr>
          </w:p>
        </w:tc>
      </w:tr>
    </w:tbl>
    <w:p>
      <w:pPr>
        <w:jc w:val="both"/>
        <w:ind w:left="260"/>
        <w:spacing w:after="0" w:line="233" w:lineRule="auto"/>
        <w:rPr>
          <w:sz w:val="20"/>
          <w:szCs w:val="20"/>
          <w:color w:val="auto"/>
        </w:rPr>
      </w:pPr>
      <w:r>
        <w:rPr>
          <w:rFonts w:ascii="Times New Roman" w:cs="Times New Roman" w:eastAsia="Times New Roman" w:hAnsi="Times New Roman"/>
          <w:sz w:val="28"/>
          <w:szCs w:val="28"/>
          <w:color w:val="auto"/>
        </w:rPr>
        <w:t>где С - стоимость оцениваемого объекта; C</w:t>
      </w:r>
      <w:r>
        <w:rPr>
          <w:rFonts w:ascii="Times New Roman" w:cs="Times New Roman" w:eastAsia="Times New Roman" w:hAnsi="Times New Roman"/>
          <w:sz w:val="36"/>
          <w:szCs w:val="36"/>
          <w:color w:val="auto"/>
          <w:vertAlign w:val="subscript"/>
        </w:rPr>
        <w:t>б</w:t>
      </w:r>
      <w:r>
        <w:rPr>
          <w:rFonts w:ascii="Times New Roman" w:cs="Times New Roman" w:eastAsia="Times New Roman" w:hAnsi="Times New Roman"/>
          <w:sz w:val="28"/>
          <w:szCs w:val="28"/>
          <w:color w:val="auto"/>
        </w:rPr>
        <w:t xml:space="preserve"> - стоимость базисного объекта; И</w:t>
      </w:r>
      <w:r>
        <w:rPr>
          <w:rFonts w:ascii="Times New Roman" w:cs="Times New Roman" w:eastAsia="Times New Roman" w:hAnsi="Times New Roman"/>
          <w:sz w:val="36"/>
          <w:szCs w:val="36"/>
          <w:color w:val="auto"/>
          <w:vertAlign w:val="subscript"/>
        </w:rPr>
        <w:t>б</w:t>
      </w:r>
      <w:r>
        <w:rPr>
          <w:rFonts w:ascii="Times New Roman" w:cs="Times New Roman" w:eastAsia="Times New Roman" w:hAnsi="Times New Roman"/>
          <w:sz w:val="28"/>
          <w:szCs w:val="28"/>
          <w:color w:val="auto"/>
        </w:rPr>
        <w:t xml:space="preserve"> и И - годовые издержки эксплуатации соответственно базисного и оцениваемого объектов (без их амортизации); k</w:t>
      </w:r>
      <w:r>
        <w:rPr>
          <w:rFonts w:ascii="Times New Roman" w:cs="Times New Roman" w:eastAsia="Times New Roman" w:hAnsi="Times New Roman"/>
          <w:sz w:val="36"/>
          <w:szCs w:val="36"/>
          <w:color w:val="auto"/>
          <w:vertAlign w:val="subscript"/>
        </w:rPr>
        <w:t>а.б</w:t>
      </w:r>
      <w:r>
        <w:rPr>
          <w:rFonts w:ascii="Times New Roman" w:cs="Times New Roman" w:eastAsia="Times New Roman" w:hAnsi="Times New Roman"/>
          <w:sz w:val="28"/>
          <w:szCs w:val="28"/>
          <w:color w:val="auto"/>
        </w:rPr>
        <w:t xml:space="preserve"> и k</w:t>
      </w:r>
      <w:r>
        <w:rPr>
          <w:rFonts w:ascii="Times New Roman" w:cs="Times New Roman" w:eastAsia="Times New Roman" w:hAnsi="Times New Roman"/>
          <w:sz w:val="36"/>
          <w:szCs w:val="36"/>
          <w:color w:val="auto"/>
          <w:vertAlign w:val="subscript"/>
        </w:rPr>
        <w:t>а</w:t>
      </w:r>
      <w:r>
        <w:rPr>
          <w:rFonts w:ascii="Times New Roman" w:cs="Times New Roman" w:eastAsia="Times New Roman" w:hAnsi="Times New Roman"/>
          <w:sz w:val="28"/>
          <w:szCs w:val="28"/>
          <w:color w:val="auto"/>
        </w:rPr>
        <w:t xml:space="preserve"> - коэффициенты амортизации базисного и оцениваемого объектов соответственно, рассчитываемые по формуле фактора фонда возмещения; Q</w:t>
      </w:r>
      <w:r>
        <w:rPr>
          <w:rFonts w:ascii="Times New Roman" w:cs="Times New Roman" w:eastAsia="Times New Roman" w:hAnsi="Times New Roman"/>
          <w:sz w:val="36"/>
          <w:szCs w:val="36"/>
          <w:color w:val="auto"/>
          <w:vertAlign w:val="subscript"/>
        </w:rPr>
        <w:t>б</w:t>
      </w:r>
      <w:r>
        <w:rPr>
          <w:rFonts w:ascii="Times New Roman" w:cs="Times New Roman" w:eastAsia="Times New Roman" w:hAnsi="Times New Roman"/>
          <w:sz w:val="28"/>
          <w:szCs w:val="28"/>
          <w:color w:val="auto"/>
        </w:rPr>
        <w:t xml:space="preserve"> и Q - годовой объем продукции, производимой с помощью базисного и оцениваемого объектов соответственно.</w:t>
      </w:r>
    </w:p>
    <w:p>
      <w:pPr>
        <w:spacing w:after="0" w:line="4" w:lineRule="exact"/>
        <w:rPr>
          <w:sz w:val="20"/>
          <w:szCs w:val="20"/>
          <w:color w:val="auto"/>
        </w:rPr>
      </w:pPr>
    </w:p>
    <w:p>
      <w:pPr>
        <w:jc w:val="both"/>
        <w:ind w:left="260" w:firstLine="720"/>
        <w:spacing w:after="0" w:line="259" w:lineRule="auto"/>
        <w:rPr>
          <w:sz w:val="20"/>
          <w:szCs w:val="20"/>
          <w:color w:val="auto"/>
        </w:rPr>
      </w:pPr>
      <w:r>
        <w:rPr>
          <w:rFonts w:ascii="Times New Roman" w:cs="Times New Roman" w:eastAsia="Times New Roman" w:hAnsi="Times New Roman"/>
          <w:sz w:val="28"/>
          <w:szCs w:val="28"/>
          <w:color w:val="auto"/>
        </w:rPr>
        <w:t>Метод равноэффективного аналога требует выполнения расчета изменяющихся статей издержек при эксплуатации базисного и оцениваемого объектов, а также определения стоимости их полезной работы.</w:t>
      </w:r>
    </w:p>
    <w:p>
      <w:pPr>
        <w:spacing w:after="0" w:line="4" w:lineRule="exact"/>
        <w:rPr>
          <w:sz w:val="20"/>
          <w:szCs w:val="20"/>
          <w:color w:val="auto"/>
        </w:rPr>
      </w:pPr>
    </w:p>
    <w:p>
      <w:pPr>
        <w:ind w:left="980"/>
        <w:spacing w:after="0"/>
        <w:rPr>
          <w:sz w:val="20"/>
          <w:szCs w:val="20"/>
          <w:color w:val="auto"/>
        </w:rPr>
      </w:pPr>
      <w:r>
        <w:rPr>
          <w:rFonts w:ascii="Times New Roman" w:cs="Times New Roman" w:eastAsia="Times New Roman" w:hAnsi="Times New Roman"/>
          <w:sz w:val="28"/>
          <w:szCs w:val="28"/>
          <w:color w:val="auto"/>
        </w:rPr>
        <w:t>Подставляя исходные данные, получим:</w:t>
      </w:r>
    </w:p>
    <w:p>
      <w:pPr>
        <w:spacing w:after="0" w:line="200" w:lineRule="exact"/>
        <w:rPr>
          <w:sz w:val="20"/>
          <w:szCs w:val="20"/>
          <w:color w:val="auto"/>
        </w:rPr>
      </w:pPr>
    </w:p>
    <w:p>
      <w:pPr>
        <w:spacing w:after="0" w:line="200" w:lineRule="exact"/>
        <w:rPr>
          <w:sz w:val="20"/>
          <w:szCs w:val="20"/>
          <w:color w:val="auto"/>
        </w:rPr>
      </w:pPr>
    </w:p>
    <w:p>
      <w:pPr>
        <w:spacing w:after="0" w:line="273" w:lineRule="exact"/>
        <w:rPr>
          <w:sz w:val="20"/>
          <w:szCs w:val="20"/>
          <w:color w:val="auto"/>
        </w:rPr>
      </w:pPr>
    </w:p>
    <w:tbl>
      <w:tblPr>
        <w:tblLayout w:type="fixed"/>
        <w:tblInd w:w="300" w:type="dxa"/>
        <w:tblCellMar>
          <w:top w:w="0" w:type="dxa"/>
          <w:left w:w="0" w:type="dxa"/>
          <w:bottom w:w="0" w:type="dxa"/>
          <w:right w:w="0" w:type="dxa"/>
        </w:tblCellMar>
      </w:tblPr>
      <w:tr>
        <w:trPr>
          <w:trHeight w:val="380"/>
        </w:trPr>
        <w:tc>
          <w:tcPr>
            <w:tcW w:w="1140" w:type="dxa"/>
            <w:vAlign w:val="bottom"/>
          </w:tcPr>
          <w:p>
            <w:pPr>
              <w:jc w:val="center"/>
              <w:spacing w:after="0"/>
              <w:rPr>
                <w:sz w:val="20"/>
                <w:szCs w:val="20"/>
                <w:color w:val="auto"/>
              </w:rPr>
            </w:pPr>
            <w:r>
              <w:rPr>
                <w:rFonts w:ascii="Symbol" w:cs="Symbol" w:eastAsia="Symbol" w:hAnsi="Symbol"/>
                <w:sz w:val="31"/>
                <w:szCs w:val="31"/>
                <w:color w:val="auto"/>
              </w:rPr>
              <w:t></w:t>
            </w:r>
          </w:p>
        </w:tc>
        <w:tc>
          <w:tcPr>
            <w:tcW w:w="280" w:type="dxa"/>
            <w:vAlign w:val="bottom"/>
          </w:tcPr>
          <w:p>
            <w:pPr>
              <w:spacing w:after="0"/>
              <w:rPr>
                <w:sz w:val="24"/>
                <w:szCs w:val="24"/>
                <w:color w:val="auto"/>
              </w:rPr>
            </w:pPr>
          </w:p>
        </w:tc>
        <w:tc>
          <w:tcPr>
            <w:tcW w:w="1360" w:type="dxa"/>
            <w:vAlign w:val="bottom"/>
          </w:tcPr>
          <w:p>
            <w:pPr>
              <w:jc w:val="right"/>
              <w:ind w:right="223"/>
              <w:spacing w:after="0"/>
              <w:rPr>
                <w:sz w:val="20"/>
                <w:szCs w:val="20"/>
                <w:color w:val="auto"/>
              </w:rPr>
            </w:pPr>
            <w:r>
              <w:rPr>
                <w:rFonts w:ascii="Times New Roman" w:cs="Times New Roman" w:eastAsia="Times New Roman" w:hAnsi="Times New Roman"/>
                <w:sz w:val="31"/>
                <w:szCs w:val="31"/>
                <w:color w:val="auto"/>
              </w:rPr>
              <w:t>1470</w:t>
            </w:r>
          </w:p>
        </w:tc>
        <w:tc>
          <w:tcPr>
            <w:tcW w:w="160" w:type="dxa"/>
            <w:vAlign w:val="bottom"/>
          </w:tcPr>
          <w:p>
            <w:pPr>
              <w:ind w:left="40"/>
              <w:spacing w:after="0"/>
              <w:rPr>
                <w:sz w:val="20"/>
                <w:szCs w:val="20"/>
                <w:color w:val="auto"/>
              </w:rPr>
            </w:pPr>
            <w:r>
              <w:rPr>
                <w:rFonts w:ascii="Symbol" w:cs="Symbol" w:eastAsia="Symbol" w:hAnsi="Symbol"/>
                <w:sz w:val="31"/>
                <w:szCs w:val="31"/>
                <w:color w:val="auto"/>
                <w:w w:val="83"/>
              </w:rPr>
              <w:t></w:t>
            </w:r>
          </w:p>
        </w:tc>
        <w:tc>
          <w:tcPr>
            <w:tcW w:w="180" w:type="dxa"/>
            <w:vAlign w:val="bottom"/>
          </w:tcPr>
          <w:p>
            <w:pPr>
              <w:spacing w:after="0"/>
              <w:rPr>
                <w:sz w:val="24"/>
                <w:szCs w:val="24"/>
                <w:color w:val="auto"/>
              </w:rPr>
            </w:pPr>
          </w:p>
        </w:tc>
        <w:tc>
          <w:tcPr>
            <w:tcW w:w="2060" w:type="dxa"/>
            <w:vAlign w:val="bottom"/>
            <w:gridSpan w:val="3"/>
          </w:tcPr>
          <w:p>
            <w:pPr>
              <w:jc w:val="right"/>
              <w:spacing w:after="0"/>
              <w:rPr>
                <w:sz w:val="20"/>
                <w:szCs w:val="20"/>
                <w:color w:val="auto"/>
              </w:rPr>
            </w:pPr>
            <w:r>
              <w:rPr>
                <w:rFonts w:ascii="Times New Roman" w:cs="Times New Roman" w:eastAsia="Times New Roman" w:hAnsi="Times New Roman"/>
                <w:sz w:val="31"/>
                <w:szCs w:val="31"/>
                <w:color w:val="auto"/>
                <w:w w:val="97"/>
              </w:rPr>
              <w:t xml:space="preserve">187(0,15 </w:t>
            </w:r>
            <w:r>
              <w:rPr>
                <w:rFonts w:ascii="Symbol" w:cs="Symbol" w:eastAsia="Symbol" w:hAnsi="Symbol"/>
                <w:sz w:val="31"/>
                <w:szCs w:val="31"/>
                <w:color w:val="auto"/>
                <w:w w:val="97"/>
              </w:rPr>
              <w:t></w:t>
            </w:r>
            <w:r>
              <w:rPr>
                <w:rFonts w:ascii="Times New Roman" w:cs="Times New Roman" w:eastAsia="Times New Roman" w:hAnsi="Times New Roman"/>
                <w:sz w:val="31"/>
                <w:szCs w:val="31"/>
                <w:color w:val="auto"/>
                <w:w w:val="97"/>
              </w:rPr>
              <w:t xml:space="preserve"> 0,25)</w:t>
            </w:r>
          </w:p>
        </w:tc>
        <w:tc>
          <w:tcPr>
            <w:tcW w:w="300" w:type="dxa"/>
            <w:vAlign w:val="bottom"/>
          </w:tcPr>
          <w:p>
            <w:pPr>
              <w:spacing w:after="0"/>
              <w:rPr>
                <w:sz w:val="24"/>
                <w:szCs w:val="24"/>
                <w:color w:val="auto"/>
              </w:rPr>
            </w:pPr>
          </w:p>
        </w:tc>
        <w:tc>
          <w:tcPr>
            <w:tcW w:w="1360" w:type="dxa"/>
            <w:vAlign w:val="bottom"/>
            <w:gridSpan w:val="2"/>
          </w:tcPr>
          <w:p>
            <w:pPr>
              <w:jc w:val="right"/>
              <w:ind w:right="223"/>
              <w:spacing w:after="0"/>
              <w:rPr>
                <w:sz w:val="20"/>
                <w:szCs w:val="20"/>
                <w:color w:val="auto"/>
              </w:rPr>
            </w:pPr>
            <w:r>
              <w:rPr>
                <w:rFonts w:ascii="Times New Roman" w:cs="Times New Roman" w:eastAsia="Times New Roman" w:hAnsi="Times New Roman"/>
                <w:sz w:val="31"/>
                <w:szCs w:val="31"/>
                <w:color w:val="auto"/>
              </w:rPr>
              <w:t>1520</w:t>
            </w:r>
          </w:p>
        </w:tc>
        <w:tc>
          <w:tcPr>
            <w:tcW w:w="24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11"/>
        </w:trPr>
        <w:tc>
          <w:tcPr>
            <w:tcW w:w="1140" w:type="dxa"/>
            <w:vAlign w:val="bottom"/>
            <w:vMerge w:val="restart"/>
          </w:tcPr>
          <w:p>
            <w:pPr>
              <w:jc w:val="center"/>
              <w:spacing w:after="0" w:line="195" w:lineRule="exact"/>
              <w:rPr>
                <w:sz w:val="20"/>
                <w:szCs w:val="20"/>
                <w:color w:val="auto"/>
              </w:rPr>
            </w:pPr>
            <w:r>
              <w:rPr>
                <w:rFonts w:ascii="Times New Roman" w:cs="Times New Roman" w:eastAsia="Times New Roman" w:hAnsi="Times New Roman"/>
                <w:sz w:val="21"/>
                <w:szCs w:val="21"/>
                <w:i w:val="1"/>
                <w:iCs w:val="1"/>
                <w:color w:val="auto"/>
              </w:rPr>
              <w:t xml:space="preserve">C </w:t>
            </w:r>
            <w:r>
              <w:rPr>
                <w:rFonts w:ascii="Symbol" w:cs="Symbol" w:eastAsia="Symbol" w:hAnsi="Symbol"/>
                <w:sz w:val="21"/>
                <w:szCs w:val="21"/>
                <w:color w:val="auto"/>
              </w:rPr>
              <w:t> </w:t>
            </w:r>
            <w:r>
              <w:rPr>
                <w:rFonts w:ascii="Times New Roman" w:cs="Times New Roman" w:eastAsia="Times New Roman" w:hAnsi="Times New Roman"/>
                <w:sz w:val="21"/>
                <w:szCs w:val="21"/>
                <w:color w:val="auto"/>
              </w:rPr>
              <w:t>120</w:t>
            </w:r>
          </w:p>
        </w:tc>
        <w:tc>
          <w:tcPr>
            <w:tcW w:w="280" w:type="dxa"/>
            <w:vAlign w:val="bottom"/>
            <w:vMerge w:val="restart"/>
          </w:tcPr>
          <w:p>
            <w:pPr>
              <w:ind w:left="40"/>
              <w:spacing w:after="0" w:line="195" w:lineRule="exact"/>
              <w:rPr>
                <w:sz w:val="20"/>
                <w:szCs w:val="20"/>
                <w:color w:val="auto"/>
              </w:rPr>
            </w:pPr>
            <w:r>
              <w:rPr>
                <w:rFonts w:ascii="Symbol" w:cs="Symbol" w:eastAsia="Symbol" w:hAnsi="Symbol"/>
                <w:sz w:val="21"/>
                <w:szCs w:val="21"/>
                <w:color w:val="auto"/>
              </w:rPr>
              <w:t></w:t>
            </w:r>
          </w:p>
        </w:tc>
        <w:tc>
          <w:tcPr>
            <w:tcW w:w="1360" w:type="dxa"/>
            <w:vAlign w:val="bottom"/>
            <w:tcBorders>
              <w:bottom w:val="single" w:sz="8" w:color="auto"/>
            </w:tcBorders>
          </w:tcPr>
          <w:p>
            <w:pPr>
              <w:spacing w:after="0"/>
              <w:rPr>
                <w:sz w:val="9"/>
                <w:szCs w:val="9"/>
                <w:color w:val="auto"/>
              </w:rPr>
            </w:pPr>
          </w:p>
        </w:tc>
        <w:tc>
          <w:tcPr>
            <w:tcW w:w="160" w:type="dxa"/>
            <w:vAlign w:val="bottom"/>
            <w:vMerge w:val="restart"/>
          </w:tcPr>
          <w:p>
            <w:pPr>
              <w:ind w:left="40"/>
              <w:spacing w:after="0" w:line="195" w:lineRule="exact"/>
              <w:rPr>
                <w:sz w:val="20"/>
                <w:szCs w:val="20"/>
                <w:color w:val="auto"/>
              </w:rPr>
            </w:pPr>
            <w:r>
              <w:rPr>
                <w:rFonts w:ascii="Symbol" w:cs="Symbol" w:eastAsia="Symbol" w:hAnsi="Symbol"/>
                <w:sz w:val="21"/>
                <w:szCs w:val="21"/>
                <w:color w:val="auto"/>
              </w:rPr>
              <w:t></w:t>
            </w:r>
          </w:p>
        </w:tc>
        <w:tc>
          <w:tcPr>
            <w:tcW w:w="180" w:type="dxa"/>
            <w:vAlign w:val="bottom"/>
            <w:vMerge w:val="restart"/>
          </w:tcPr>
          <w:p>
            <w:pPr>
              <w:ind w:left="20"/>
              <w:spacing w:after="0" w:line="194" w:lineRule="exact"/>
              <w:rPr>
                <w:sz w:val="20"/>
                <w:szCs w:val="20"/>
                <w:color w:val="auto"/>
              </w:rPr>
            </w:pPr>
            <w:r>
              <w:rPr>
                <w:rFonts w:ascii="Times New Roman" w:cs="Times New Roman" w:eastAsia="Times New Roman" w:hAnsi="Times New Roman"/>
                <w:sz w:val="22"/>
                <w:szCs w:val="22"/>
                <w:i w:val="1"/>
                <w:iCs w:val="1"/>
                <w:color w:val="auto"/>
              </w:rPr>
              <w:t>х</w:t>
            </w:r>
          </w:p>
        </w:tc>
        <w:tc>
          <w:tcPr>
            <w:tcW w:w="20" w:type="dxa"/>
            <w:vAlign w:val="bottom"/>
          </w:tcPr>
          <w:p>
            <w:pPr>
              <w:spacing w:after="0"/>
              <w:rPr>
                <w:sz w:val="9"/>
                <w:szCs w:val="9"/>
                <w:color w:val="auto"/>
              </w:rPr>
            </w:pPr>
          </w:p>
        </w:tc>
        <w:tc>
          <w:tcPr>
            <w:tcW w:w="1120" w:type="dxa"/>
            <w:vAlign w:val="bottom"/>
            <w:tcBorders>
              <w:bottom w:val="single" w:sz="8" w:color="auto"/>
            </w:tcBorders>
          </w:tcPr>
          <w:p>
            <w:pPr>
              <w:spacing w:after="0"/>
              <w:rPr>
                <w:sz w:val="9"/>
                <w:szCs w:val="9"/>
                <w:color w:val="auto"/>
              </w:rPr>
            </w:pPr>
          </w:p>
        </w:tc>
        <w:tc>
          <w:tcPr>
            <w:tcW w:w="920" w:type="dxa"/>
            <w:vAlign w:val="bottom"/>
            <w:tcBorders>
              <w:bottom w:val="single" w:sz="8" w:color="auto"/>
            </w:tcBorders>
          </w:tcPr>
          <w:p>
            <w:pPr>
              <w:spacing w:after="0"/>
              <w:rPr>
                <w:sz w:val="9"/>
                <w:szCs w:val="9"/>
                <w:color w:val="auto"/>
              </w:rPr>
            </w:pPr>
          </w:p>
        </w:tc>
        <w:tc>
          <w:tcPr>
            <w:tcW w:w="300" w:type="dxa"/>
            <w:vAlign w:val="bottom"/>
            <w:vMerge w:val="restart"/>
          </w:tcPr>
          <w:p>
            <w:pPr>
              <w:ind w:left="60"/>
              <w:spacing w:after="0" w:line="195" w:lineRule="exact"/>
              <w:rPr>
                <w:sz w:val="20"/>
                <w:szCs w:val="20"/>
                <w:color w:val="auto"/>
              </w:rPr>
            </w:pPr>
            <w:r>
              <w:rPr>
                <w:rFonts w:ascii="Symbol" w:cs="Symbol" w:eastAsia="Symbol" w:hAnsi="Symbol"/>
                <w:sz w:val="21"/>
                <w:szCs w:val="21"/>
                <w:color w:val="auto"/>
              </w:rPr>
              <w:t></w:t>
            </w:r>
          </w:p>
        </w:tc>
        <w:tc>
          <w:tcPr>
            <w:tcW w:w="540" w:type="dxa"/>
            <w:vAlign w:val="bottom"/>
            <w:tcBorders>
              <w:bottom w:val="single" w:sz="8" w:color="auto"/>
            </w:tcBorders>
          </w:tcPr>
          <w:p>
            <w:pPr>
              <w:spacing w:after="0"/>
              <w:rPr>
                <w:sz w:val="9"/>
                <w:szCs w:val="9"/>
                <w:color w:val="auto"/>
              </w:rPr>
            </w:pPr>
          </w:p>
        </w:tc>
        <w:tc>
          <w:tcPr>
            <w:tcW w:w="820" w:type="dxa"/>
            <w:vAlign w:val="bottom"/>
            <w:tcBorders>
              <w:bottom w:val="single" w:sz="8" w:color="auto"/>
            </w:tcBorders>
          </w:tcPr>
          <w:p>
            <w:pPr>
              <w:spacing w:after="0"/>
              <w:rPr>
                <w:sz w:val="9"/>
                <w:szCs w:val="9"/>
                <w:color w:val="auto"/>
              </w:rPr>
            </w:pPr>
          </w:p>
        </w:tc>
        <w:tc>
          <w:tcPr>
            <w:tcW w:w="2460" w:type="dxa"/>
            <w:vAlign w:val="bottom"/>
            <w:vMerge w:val="restart"/>
          </w:tcPr>
          <w:p>
            <w:pPr>
              <w:ind w:left="80"/>
              <w:spacing w:after="0" w:line="195" w:lineRule="exact"/>
              <w:rPr>
                <w:sz w:val="20"/>
                <w:szCs w:val="20"/>
                <w:color w:val="auto"/>
              </w:rPr>
            </w:pPr>
            <w:r>
              <w:rPr>
                <w:rFonts w:ascii="Symbol" w:cs="Symbol" w:eastAsia="Symbol" w:hAnsi="Symbol"/>
                <w:sz w:val="21"/>
                <w:szCs w:val="21"/>
                <w:color w:val="auto"/>
              </w:rPr>
              <w:t></w:t>
            </w:r>
            <w:r>
              <w:rPr>
                <w:rFonts w:ascii="Times New Roman" w:cs="Times New Roman" w:eastAsia="Times New Roman" w:hAnsi="Times New Roman"/>
                <w:sz w:val="21"/>
                <w:szCs w:val="21"/>
                <w:color w:val="auto"/>
              </w:rPr>
              <w:t xml:space="preserve"> 142,583тыс. руб.</w:t>
            </w:r>
          </w:p>
        </w:tc>
        <w:tc>
          <w:tcPr>
            <w:tcW w:w="0" w:type="dxa"/>
            <w:vAlign w:val="bottom"/>
          </w:tcPr>
          <w:p>
            <w:pPr>
              <w:spacing w:after="0"/>
              <w:rPr>
                <w:sz w:val="1"/>
                <w:szCs w:val="1"/>
                <w:color w:val="auto"/>
              </w:rPr>
            </w:pPr>
          </w:p>
        </w:tc>
      </w:tr>
      <w:tr>
        <w:trPr>
          <w:trHeight w:val="64"/>
        </w:trPr>
        <w:tc>
          <w:tcPr>
            <w:tcW w:w="1140" w:type="dxa"/>
            <w:vAlign w:val="bottom"/>
            <w:vMerge w:val="continue"/>
          </w:tcPr>
          <w:p>
            <w:pPr>
              <w:spacing w:after="0"/>
              <w:rPr>
                <w:sz w:val="5"/>
                <w:szCs w:val="5"/>
                <w:color w:val="auto"/>
              </w:rPr>
            </w:pPr>
          </w:p>
        </w:tc>
        <w:tc>
          <w:tcPr>
            <w:tcW w:w="280" w:type="dxa"/>
            <w:vAlign w:val="bottom"/>
            <w:vMerge w:val="continue"/>
          </w:tcPr>
          <w:p>
            <w:pPr>
              <w:spacing w:after="0"/>
              <w:rPr>
                <w:sz w:val="5"/>
                <w:szCs w:val="5"/>
                <w:color w:val="auto"/>
              </w:rPr>
            </w:pPr>
          </w:p>
        </w:tc>
        <w:tc>
          <w:tcPr>
            <w:tcW w:w="1360" w:type="dxa"/>
            <w:vAlign w:val="bottom"/>
            <w:vMerge w:val="restart"/>
          </w:tcPr>
          <w:p>
            <w:pPr>
              <w:jc w:val="center"/>
              <w:spacing w:after="0"/>
              <w:rPr>
                <w:sz w:val="20"/>
                <w:szCs w:val="20"/>
                <w:color w:val="auto"/>
              </w:rPr>
            </w:pPr>
            <w:r>
              <w:rPr>
                <w:rFonts w:ascii="Times New Roman" w:cs="Times New Roman" w:eastAsia="Times New Roman" w:hAnsi="Times New Roman"/>
                <w:sz w:val="31"/>
                <w:szCs w:val="31"/>
                <w:color w:val="auto"/>
                <w:w w:val="94"/>
              </w:rPr>
              <w:t xml:space="preserve">0,15 </w:t>
            </w:r>
            <w:r>
              <w:rPr>
                <w:rFonts w:ascii="Symbol" w:cs="Symbol" w:eastAsia="Symbol" w:hAnsi="Symbol"/>
                <w:sz w:val="31"/>
                <w:szCs w:val="31"/>
                <w:color w:val="auto"/>
                <w:w w:val="94"/>
              </w:rPr>
              <w:t></w:t>
            </w:r>
            <w:r>
              <w:rPr>
                <w:rFonts w:ascii="Times New Roman" w:cs="Times New Roman" w:eastAsia="Times New Roman" w:hAnsi="Times New Roman"/>
                <w:sz w:val="31"/>
                <w:szCs w:val="31"/>
                <w:color w:val="auto"/>
                <w:w w:val="94"/>
              </w:rPr>
              <w:t xml:space="preserve"> 0,25</w:t>
            </w:r>
          </w:p>
        </w:tc>
        <w:tc>
          <w:tcPr>
            <w:tcW w:w="160" w:type="dxa"/>
            <w:vAlign w:val="bottom"/>
            <w:vMerge w:val="continue"/>
          </w:tcPr>
          <w:p>
            <w:pPr>
              <w:spacing w:after="0"/>
              <w:rPr>
                <w:sz w:val="5"/>
                <w:szCs w:val="5"/>
                <w:color w:val="auto"/>
              </w:rPr>
            </w:pPr>
          </w:p>
        </w:tc>
        <w:tc>
          <w:tcPr>
            <w:tcW w:w="180" w:type="dxa"/>
            <w:vAlign w:val="bottom"/>
            <w:vMerge w:val="continue"/>
          </w:tcPr>
          <w:p>
            <w:pPr>
              <w:spacing w:after="0"/>
              <w:rPr>
                <w:sz w:val="5"/>
                <w:szCs w:val="5"/>
                <w:color w:val="auto"/>
              </w:rPr>
            </w:pPr>
          </w:p>
        </w:tc>
        <w:tc>
          <w:tcPr>
            <w:tcW w:w="1140" w:type="dxa"/>
            <w:vAlign w:val="bottom"/>
            <w:gridSpan w:val="2"/>
            <w:vMerge w:val="restart"/>
          </w:tcPr>
          <w:p>
            <w:pPr>
              <w:jc w:val="right"/>
              <w:ind w:right="20"/>
              <w:spacing w:after="0"/>
              <w:rPr>
                <w:sz w:val="20"/>
                <w:szCs w:val="20"/>
                <w:color w:val="auto"/>
              </w:rPr>
            </w:pPr>
            <w:r>
              <w:rPr>
                <w:rFonts w:ascii="Times New Roman" w:cs="Times New Roman" w:eastAsia="Times New Roman" w:hAnsi="Times New Roman"/>
                <w:sz w:val="31"/>
                <w:szCs w:val="31"/>
                <w:color w:val="auto"/>
                <w:w w:val="98"/>
              </w:rPr>
              <w:t>180(0,15</w:t>
            </w:r>
          </w:p>
        </w:tc>
        <w:tc>
          <w:tcPr>
            <w:tcW w:w="920" w:type="dxa"/>
            <w:vAlign w:val="bottom"/>
            <w:vMerge w:val="restart"/>
          </w:tcPr>
          <w:p>
            <w:pPr>
              <w:jc w:val="right"/>
              <w:spacing w:after="0"/>
              <w:rPr>
                <w:sz w:val="20"/>
                <w:szCs w:val="20"/>
                <w:color w:val="auto"/>
              </w:rPr>
            </w:pPr>
            <w:r>
              <w:rPr>
                <w:rFonts w:ascii="Symbol" w:cs="Symbol" w:eastAsia="Symbol" w:hAnsi="Symbol"/>
                <w:sz w:val="31"/>
                <w:szCs w:val="31"/>
                <w:color w:val="auto"/>
                <w:w w:val="98"/>
              </w:rPr>
              <w:t></w:t>
            </w:r>
            <w:r>
              <w:rPr>
                <w:rFonts w:ascii="Times New Roman" w:cs="Times New Roman" w:eastAsia="Times New Roman" w:hAnsi="Times New Roman"/>
                <w:sz w:val="31"/>
                <w:szCs w:val="31"/>
                <w:color w:val="auto"/>
                <w:w w:val="98"/>
              </w:rPr>
              <w:t xml:space="preserve"> 0,25)</w:t>
            </w:r>
          </w:p>
        </w:tc>
        <w:tc>
          <w:tcPr>
            <w:tcW w:w="300" w:type="dxa"/>
            <w:vAlign w:val="bottom"/>
            <w:vMerge w:val="continue"/>
          </w:tcPr>
          <w:p>
            <w:pPr>
              <w:spacing w:after="0"/>
              <w:rPr>
                <w:sz w:val="5"/>
                <w:szCs w:val="5"/>
                <w:color w:val="auto"/>
              </w:rPr>
            </w:pPr>
          </w:p>
        </w:tc>
        <w:tc>
          <w:tcPr>
            <w:tcW w:w="540" w:type="dxa"/>
            <w:vAlign w:val="bottom"/>
            <w:vMerge w:val="restart"/>
          </w:tcPr>
          <w:p>
            <w:pPr>
              <w:jc w:val="right"/>
              <w:spacing w:after="0"/>
              <w:rPr>
                <w:sz w:val="20"/>
                <w:szCs w:val="20"/>
                <w:color w:val="auto"/>
              </w:rPr>
            </w:pPr>
            <w:r>
              <w:rPr>
                <w:rFonts w:ascii="Times New Roman" w:cs="Times New Roman" w:eastAsia="Times New Roman" w:hAnsi="Times New Roman"/>
                <w:sz w:val="31"/>
                <w:szCs w:val="31"/>
                <w:color w:val="auto"/>
                <w:w w:val="92"/>
              </w:rPr>
              <w:t>0,15</w:t>
            </w:r>
          </w:p>
        </w:tc>
        <w:tc>
          <w:tcPr>
            <w:tcW w:w="820" w:type="dxa"/>
            <w:vAlign w:val="bottom"/>
            <w:vMerge w:val="restart"/>
          </w:tcPr>
          <w:p>
            <w:pPr>
              <w:jc w:val="right"/>
              <w:spacing w:after="0"/>
              <w:rPr>
                <w:sz w:val="20"/>
                <w:szCs w:val="20"/>
                <w:color w:val="auto"/>
              </w:rPr>
            </w:pPr>
            <w:r>
              <w:rPr>
                <w:rFonts w:ascii="Symbol" w:cs="Symbol" w:eastAsia="Symbol" w:hAnsi="Symbol"/>
                <w:sz w:val="31"/>
                <w:szCs w:val="31"/>
                <w:color w:val="auto"/>
                <w:w w:val="98"/>
              </w:rPr>
              <w:t></w:t>
            </w:r>
            <w:r>
              <w:rPr>
                <w:rFonts w:ascii="Times New Roman" w:cs="Times New Roman" w:eastAsia="Times New Roman" w:hAnsi="Times New Roman"/>
                <w:sz w:val="31"/>
                <w:szCs w:val="31"/>
                <w:color w:val="auto"/>
                <w:w w:val="98"/>
              </w:rPr>
              <w:t xml:space="preserve"> 0,25</w:t>
            </w:r>
          </w:p>
        </w:tc>
        <w:tc>
          <w:tcPr>
            <w:tcW w:w="2460" w:type="dxa"/>
            <w:vAlign w:val="bottom"/>
            <w:vMerge w:val="continue"/>
          </w:tcPr>
          <w:p>
            <w:pPr>
              <w:spacing w:after="0"/>
              <w:rPr>
                <w:sz w:val="5"/>
                <w:szCs w:val="5"/>
                <w:color w:val="auto"/>
              </w:rPr>
            </w:pPr>
          </w:p>
        </w:tc>
        <w:tc>
          <w:tcPr>
            <w:tcW w:w="0" w:type="dxa"/>
            <w:vAlign w:val="bottom"/>
          </w:tcPr>
          <w:p>
            <w:pPr>
              <w:spacing w:after="0"/>
              <w:rPr>
                <w:sz w:val="1"/>
                <w:szCs w:val="1"/>
                <w:color w:val="auto"/>
              </w:rPr>
            </w:pPr>
          </w:p>
        </w:tc>
      </w:tr>
      <w:tr>
        <w:trPr>
          <w:trHeight w:val="383"/>
        </w:trPr>
        <w:tc>
          <w:tcPr>
            <w:tcW w:w="1140" w:type="dxa"/>
            <w:vAlign w:val="bottom"/>
          </w:tcPr>
          <w:p>
            <w:pPr>
              <w:jc w:val="center"/>
              <w:spacing w:after="0"/>
              <w:rPr>
                <w:sz w:val="20"/>
                <w:szCs w:val="20"/>
                <w:color w:val="auto"/>
              </w:rPr>
            </w:pPr>
            <w:r>
              <w:rPr>
                <w:rFonts w:ascii="Symbol" w:cs="Symbol" w:eastAsia="Symbol" w:hAnsi="Symbol"/>
                <w:sz w:val="31"/>
                <w:szCs w:val="31"/>
                <w:color w:val="auto"/>
              </w:rPr>
              <w:t></w:t>
            </w:r>
          </w:p>
        </w:tc>
        <w:tc>
          <w:tcPr>
            <w:tcW w:w="280" w:type="dxa"/>
            <w:vAlign w:val="bottom"/>
          </w:tcPr>
          <w:p>
            <w:pPr>
              <w:spacing w:after="0"/>
              <w:rPr>
                <w:sz w:val="24"/>
                <w:szCs w:val="24"/>
                <w:color w:val="auto"/>
              </w:rPr>
            </w:pPr>
          </w:p>
        </w:tc>
        <w:tc>
          <w:tcPr>
            <w:tcW w:w="1360" w:type="dxa"/>
            <w:vAlign w:val="bottom"/>
            <w:vMerge w:val="continue"/>
          </w:tcPr>
          <w:p>
            <w:pPr>
              <w:spacing w:after="0"/>
              <w:rPr>
                <w:sz w:val="24"/>
                <w:szCs w:val="24"/>
                <w:color w:val="auto"/>
              </w:rPr>
            </w:pPr>
          </w:p>
        </w:tc>
        <w:tc>
          <w:tcPr>
            <w:tcW w:w="160" w:type="dxa"/>
            <w:vAlign w:val="bottom"/>
          </w:tcPr>
          <w:p>
            <w:pPr>
              <w:ind w:left="40"/>
              <w:spacing w:after="0"/>
              <w:rPr>
                <w:sz w:val="20"/>
                <w:szCs w:val="20"/>
                <w:color w:val="auto"/>
              </w:rPr>
            </w:pPr>
            <w:r>
              <w:rPr>
                <w:rFonts w:ascii="Symbol" w:cs="Symbol" w:eastAsia="Symbol" w:hAnsi="Symbol"/>
                <w:sz w:val="31"/>
                <w:szCs w:val="31"/>
                <w:color w:val="auto"/>
                <w:w w:val="83"/>
              </w:rPr>
              <w:t></w:t>
            </w:r>
          </w:p>
        </w:tc>
        <w:tc>
          <w:tcPr>
            <w:tcW w:w="180" w:type="dxa"/>
            <w:vAlign w:val="bottom"/>
          </w:tcPr>
          <w:p>
            <w:pPr>
              <w:spacing w:after="0"/>
              <w:rPr>
                <w:sz w:val="24"/>
                <w:szCs w:val="24"/>
                <w:color w:val="auto"/>
              </w:rPr>
            </w:pPr>
          </w:p>
        </w:tc>
        <w:tc>
          <w:tcPr>
            <w:tcW w:w="1140" w:type="dxa"/>
            <w:vAlign w:val="bottom"/>
            <w:gridSpan w:val="2"/>
            <w:vMerge w:val="continue"/>
          </w:tcPr>
          <w:p>
            <w:pPr>
              <w:spacing w:after="0"/>
              <w:rPr>
                <w:sz w:val="24"/>
                <w:szCs w:val="24"/>
                <w:color w:val="auto"/>
              </w:rPr>
            </w:pPr>
          </w:p>
        </w:tc>
        <w:tc>
          <w:tcPr>
            <w:tcW w:w="920" w:type="dxa"/>
            <w:vAlign w:val="bottom"/>
            <w:vMerge w:val="continue"/>
          </w:tcPr>
          <w:p>
            <w:pPr>
              <w:spacing w:after="0"/>
              <w:rPr>
                <w:sz w:val="24"/>
                <w:szCs w:val="24"/>
                <w:color w:val="auto"/>
              </w:rPr>
            </w:pPr>
          </w:p>
        </w:tc>
        <w:tc>
          <w:tcPr>
            <w:tcW w:w="300" w:type="dxa"/>
            <w:vAlign w:val="bottom"/>
          </w:tcPr>
          <w:p>
            <w:pPr>
              <w:spacing w:after="0"/>
              <w:rPr>
                <w:sz w:val="24"/>
                <w:szCs w:val="24"/>
                <w:color w:val="auto"/>
              </w:rPr>
            </w:pPr>
          </w:p>
        </w:tc>
        <w:tc>
          <w:tcPr>
            <w:tcW w:w="540" w:type="dxa"/>
            <w:vAlign w:val="bottom"/>
            <w:vMerge w:val="continue"/>
          </w:tcPr>
          <w:p>
            <w:pPr>
              <w:spacing w:after="0"/>
              <w:rPr>
                <w:sz w:val="24"/>
                <w:szCs w:val="24"/>
                <w:color w:val="auto"/>
              </w:rPr>
            </w:pPr>
          </w:p>
        </w:tc>
        <w:tc>
          <w:tcPr>
            <w:tcW w:w="820" w:type="dxa"/>
            <w:vAlign w:val="bottom"/>
            <w:vMerge w:val="continue"/>
          </w:tcPr>
          <w:p>
            <w:pPr>
              <w:spacing w:after="0"/>
              <w:rPr>
                <w:sz w:val="24"/>
                <w:szCs w:val="24"/>
                <w:color w:val="auto"/>
              </w:rPr>
            </w:pPr>
          </w:p>
        </w:tc>
        <w:tc>
          <w:tcPr>
            <w:tcW w:w="246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pacing w:after="0" w:line="298" w:lineRule="exact"/>
        <w:rPr>
          <w:sz w:val="20"/>
          <w:szCs w:val="20"/>
          <w:color w:val="auto"/>
        </w:rPr>
      </w:pPr>
    </w:p>
    <w:p>
      <w:pPr>
        <w:jc w:val="both"/>
        <w:ind w:left="260" w:firstLine="720"/>
        <w:spacing w:after="0"/>
        <w:rPr>
          <w:sz w:val="20"/>
          <w:szCs w:val="20"/>
          <w:color w:val="auto"/>
        </w:rPr>
      </w:pPr>
      <w:r>
        <w:rPr>
          <w:rFonts w:ascii="Times New Roman" w:cs="Times New Roman" w:eastAsia="Times New Roman" w:hAnsi="Times New Roman"/>
          <w:sz w:val="28"/>
          <w:szCs w:val="28"/>
          <w:u w:val="single" w:color="auto"/>
          <w:color w:val="auto"/>
        </w:rPr>
        <w:t>Задача</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u w:val="single" w:color="auto"/>
          <w:color w:val="auto"/>
        </w:rPr>
        <w:t>3.2.5.</w:t>
      </w:r>
      <w:r>
        <w:rPr>
          <w:rFonts w:ascii="Times New Roman" w:cs="Times New Roman" w:eastAsia="Times New Roman" w:hAnsi="Times New Roman"/>
          <w:sz w:val="28"/>
          <w:szCs w:val="28"/>
          <w:color w:val="auto"/>
        </w:rPr>
        <w:t xml:space="preserve"> Продается действующий комплекс оборудования по производству пиломатериалов (необразных и обрезных досок и брусков). В состав комплекса входят две пилорамы, станки торцовочный, многопильный, заточный, рихтовальный и зубоплющильный, сушильная камера, а также два грузовых автомобиля. Хронологический возраст оборудования 5 лет, нормативный срок службы 11 лет.</w:t>
      </w:r>
    </w:p>
    <w:p>
      <w:pPr>
        <w:jc w:val="both"/>
        <w:ind w:left="260" w:firstLine="720"/>
        <w:spacing w:after="0" w:line="270" w:lineRule="auto"/>
        <w:rPr>
          <w:sz w:val="20"/>
          <w:szCs w:val="20"/>
          <w:color w:val="auto"/>
        </w:rPr>
      </w:pPr>
      <w:r>
        <w:rPr>
          <w:rFonts w:ascii="Times New Roman" w:cs="Times New Roman" w:eastAsia="Times New Roman" w:hAnsi="Times New Roman"/>
          <w:sz w:val="28"/>
          <w:szCs w:val="28"/>
          <w:color w:val="auto"/>
        </w:rPr>
        <w:t>Общая масса оборудования 25 т. Утилизация по истечении нормативного срока службы проводится по цене лома 40 руб. за 1 т.</w:t>
      </w:r>
    </w:p>
    <w:p>
      <w:pPr>
        <w:sectPr>
          <w:pgSz w:w="11900" w:h="16840" w:orient="portrait"/>
          <w:cols w:equalWidth="0" w:num="1">
            <w:col w:w="9620"/>
          </w:cols>
          <w:pgMar w:left="1440" w:top="1112" w:right="844" w:bottom="163" w:gutter="0" w:footer="0" w:header="0"/>
        </w:sectPr>
      </w:pPr>
    </w:p>
    <w:p>
      <w:pPr>
        <w:spacing w:after="0" w:line="334" w:lineRule="exact"/>
        <w:rPr>
          <w:sz w:val="20"/>
          <w:szCs w:val="20"/>
          <w:color w:val="auto"/>
        </w:rPr>
      </w:pPr>
    </w:p>
    <w:p>
      <w:pPr>
        <w:ind w:left="9380"/>
        <w:spacing w:after="0"/>
        <w:rPr>
          <w:sz w:val="20"/>
          <w:szCs w:val="20"/>
          <w:color w:val="auto"/>
        </w:rPr>
      </w:pPr>
      <w:r>
        <w:rPr>
          <w:rFonts w:ascii="Times New Roman" w:cs="Times New Roman" w:eastAsia="Times New Roman" w:hAnsi="Times New Roman"/>
          <w:sz w:val="24"/>
          <w:szCs w:val="24"/>
          <w:color w:val="auto"/>
        </w:rPr>
        <w:t>34</w:t>
      </w:r>
    </w:p>
    <w:p>
      <w:pPr>
        <w:sectPr>
          <w:pgSz w:w="11900" w:h="16840" w:orient="portrait"/>
          <w:cols w:equalWidth="0" w:num="1">
            <w:col w:w="9620"/>
          </w:cols>
          <w:pgMar w:left="1440" w:top="1112" w:right="844" w:bottom="163" w:gutter="0" w:footer="0" w:header="0"/>
          <w:type w:val="continuous"/>
        </w:sectPr>
      </w:pPr>
    </w:p>
    <w:p>
      <w:pPr>
        <w:jc w:val="both"/>
        <w:ind w:left="260" w:right="100" w:firstLine="720"/>
        <w:spacing w:after="0"/>
        <w:rPr>
          <w:sz w:val="20"/>
          <w:szCs w:val="20"/>
          <w:color w:val="auto"/>
        </w:rPr>
      </w:pPr>
      <w:r>
        <w:rPr>
          <w:rFonts w:ascii="Times New Roman" w:cs="Times New Roman" w:eastAsia="Times New Roman" w:hAnsi="Times New Roman"/>
          <w:sz w:val="28"/>
          <w:szCs w:val="28"/>
          <w:color w:val="auto"/>
        </w:rPr>
        <w:t>Комплекс занимает производственное помещение 691 кв. м и офисное помещение 65 кв. м. Арендная плата за помещение включена в сумму затрат на производство и реализацию продукции.</w:t>
      </w:r>
    </w:p>
    <w:p>
      <w:pPr>
        <w:jc w:val="both"/>
        <w:ind w:left="260" w:right="100" w:firstLine="720"/>
        <w:spacing w:after="0"/>
        <w:rPr>
          <w:sz w:val="20"/>
          <w:szCs w:val="20"/>
          <w:color w:val="auto"/>
        </w:rPr>
      </w:pPr>
      <w:r>
        <w:rPr>
          <w:rFonts w:ascii="Times New Roman" w:cs="Times New Roman" w:eastAsia="Times New Roman" w:hAnsi="Times New Roman"/>
          <w:sz w:val="28"/>
          <w:szCs w:val="28"/>
          <w:color w:val="auto"/>
        </w:rPr>
        <w:t>Текущая стоимость оборотных средств (запасы древесины, инструмент, инвентарь) - 11500 руб.</w:t>
      </w:r>
    </w:p>
    <w:p>
      <w:pPr>
        <w:jc w:val="both"/>
        <w:ind w:left="260" w:right="100" w:firstLine="720"/>
        <w:spacing w:after="0" w:line="239" w:lineRule="auto"/>
        <w:rPr>
          <w:sz w:val="20"/>
          <w:szCs w:val="20"/>
          <w:color w:val="auto"/>
        </w:rPr>
      </w:pPr>
      <w:r>
        <w:rPr>
          <w:rFonts w:ascii="Times New Roman" w:cs="Times New Roman" w:eastAsia="Times New Roman" w:hAnsi="Times New Roman"/>
          <w:sz w:val="28"/>
          <w:szCs w:val="28"/>
          <w:color w:val="auto"/>
        </w:rPr>
        <w:t>Потенциальный покупатель заказал оценку текущей остаточной стоимости комплекса оборудования при норме дохода 16% годовых.</w:t>
      </w:r>
    </w:p>
    <w:p>
      <w:pPr>
        <w:spacing w:after="0" w:line="2" w:lineRule="exact"/>
        <w:rPr>
          <w:sz w:val="20"/>
          <w:szCs w:val="20"/>
          <w:color w:val="auto"/>
        </w:rPr>
      </w:pPr>
    </w:p>
    <w:p>
      <w:pPr>
        <w:jc w:val="both"/>
        <w:ind w:left="260" w:right="100" w:firstLine="720"/>
        <w:spacing w:after="0"/>
        <w:rPr>
          <w:sz w:val="20"/>
          <w:szCs w:val="20"/>
          <w:color w:val="auto"/>
        </w:rPr>
      </w:pPr>
      <w:r>
        <w:rPr>
          <w:rFonts w:ascii="Times New Roman" w:cs="Times New Roman" w:eastAsia="Times New Roman" w:hAnsi="Times New Roman"/>
          <w:sz w:val="28"/>
          <w:szCs w:val="28"/>
          <w:color w:val="auto"/>
        </w:rPr>
        <w:t>Финансовые показатели деятельности комплекса за последние три года (в долларах) представлены в таблице. Примечание: Капитальный ремонт оборудования не проводился.</w:t>
      </w:r>
    </w:p>
    <w:p>
      <w:pPr>
        <w:jc w:val="both"/>
        <w:ind w:left="260" w:right="100" w:firstLine="720"/>
        <w:spacing w:after="0" w:line="243" w:lineRule="auto"/>
        <w:rPr>
          <w:sz w:val="20"/>
          <w:szCs w:val="20"/>
          <w:color w:val="auto"/>
        </w:rPr>
      </w:pPr>
      <w:r>
        <w:rPr>
          <w:rFonts w:ascii="Times New Roman" w:cs="Times New Roman" w:eastAsia="Times New Roman" w:hAnsi="Times New Roman"/>
          <w:sz w:val="28"/>
          <w:szCs w:val="28"/>
          <w:color w:val="auto"/>
        </w:rPr>
        <w:t>Затраты на производство росли вследствие увеличения отказов оборудования и удорожания его технического обслуживания.</w:t>
      </w:r>
    </w:p>
    <w:tbl>
      <w:tblPr>
        <w:tblLayout w:type="fixed"/>
        <w:tblInd w:w="150" w:type="dxa"/>
        <w:tblCellMar>
          <w:top w:w="0" w:type="dxa"/>
          <w:left w:w="0" w:type="dxa"/>
          <w:bottom w:w="0" w:type="dxa"/>
          <w:right w:w="0" w:type="dxa"/>
        </w:tblCellMar>
      </w:tblPr>
      <w:tr>
        <w:trPr>
          <w:trHeight w:val="353"/>
        </w:trPr>
        <w:tc>
          <w:tcPr>
            <w:tcW w:w="5720" w:type="dxa"/>
            <w:vAlign w:val="bottom"/>
            <w:tcBorders>
              <w:top w:val="single" w:sz="8" w:color="auto"/>
              <w:left w:val="single" w:sz="8" w:color="auto"/>
              <w:bottom w:val="single" w:sz="8" w:color="auto"/>
              <w:right w:val="single" w:sz="8" w:color="auto"/>
            </w:tcBorders>
            <w:vMerge w:val="restart"/>
          </w:tcPr>
          <w:p>
            <w:pPr>
              <w:ind w:left="2180"/>
              <w:spacing w:after="0"/>
              <w:rPr>
                <w:sz w:val="20"/>
                <w:szCs w:val="20"/>
                <w:color w:val="auto"/>
              </w:rPr>
            </w:pPr>
            <w:r>
              <w:rPr>
                <w:rFonts w:ascii="Times New Roman" w:cs="Times New Roman" w:eastAsia="Times New Roman" w:hAnsi="Times New Roman"/>
                <w:sz w:val="28"/>
                <w:szCs w:val="28"/>
                <w:color w:val="auto"/>
              </w:rPr>
              <w:t>Показатель</w:t>
            </w:r>
          </w:p>
        </w:tc>
        <w:tc>
          <w:tcPr>
            <w:tcW w:w="1220" w:type="dxa"/>
            <w:vAlign w:val="bottom"/>
            <w:tcBorders>
              <w:top w:val="single" w:sz="8" w:color="auto"/>
              <w:bottom w:val="single" w:sz="8" w:color="auto"/>
            </w:tcBorders>
          </w:tcPr>
          <w:p>
            <w:pPr>
              <w:spacing w:after="0"/>
              <w:rPr>
                <w:sz w:val="24"/>
                <w:szCs w:val="24"/>
                <w:color w:val="auto"/>
              </w:rPr>
            </w:pPr>
          </w:p>
        </w:tc>
        <w:tc>
          <w:tcPr>
            <w:tcW w:w="1260" w:type="dxa"/>
            <w:vAlign w:val="bottom"/>
            <w:tcBorders>
              <w:top w:val="single" w:sz="8" w:color="auto"/>
              <w:bottom w:val="single" w:sz="8" w:color="auto"/>
            </w:tcBorders>
          </w:tcPr>
          <w:p>
            <w:pPr>
              <w:ind w:left="380"/>
              <w:spacing w:after="0"/>
              <w:rPr>
                <w:sz w:val="20"/>
                <w:szCs w:val="20"/>
                <w:color w:val="auto"/>
              </w:rPr>
            </w:pPr>
            <w:r>
              <w:rPr>
                <w:rFonts w:ascii="Times New Roman" w:cs="Times New Roman" w:eastAsia="Times New Roman" w:hAnsi="Times New Roman"/>
                <w:sz w:val="28"/>
                <w:szCs w:val="28"/>
                <w:color w:val="auto"/>
              </w:rPr>
              <w:t>Годы</w:t>
            </w:r>
          </w:p>
        </w:tc>
        <w:tc>
          <w:tcPr>
            <w:tcW w:w="1400" w:type="dxa"/>
            <w:vAlign w:val="bottom"/>
            <w:tcBorders>
              <w:top w:val="single" w:sz="8" w:color="auto"/>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53"/>
        </w:trPr>
        <w:tc>
          <w:tcPr>
            <w:tcW w:w="5720" w:type="dxa"/>
            <w:vAlign w:val="bottom"/>
            <w:tcBorders>
              <w:left w:val="single" w:sz="8" w:color="auto"/>
              <w:right w:val="single" w:sz="8" w:color="auto"/>
            </w:tcBorders>
            <w:vMerge w:val="continue"/>
          </w:tcPr>
          <w:p>
            <w:pPr>
              <w:spacing w:after="0"/>
              <w:rPr>
                <w:sz w:val="13"/>
                <w:szCs w:val="13"/>
                <w:color w:val="auto"/>
              </w:rPr>
            </w:pPr>
          </w:p>
        </w:tc>
        <w:tc>
          <w:tcPr>
            <w:tcW w:w="122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8"/>
                <w:szCs w:val="28"/>
                <w:color w:val="auto"/>
                <w:w w:val="99"/>
              </w:rPr>
              <w:t>1</w:t>
            </w:r>
          </w:p>
        </w:tc>
        <w:tc>
          <w:tcPr>
            <w:tcW w:w="126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8"/>
                <w:szCs w:val="28"/>
                <w:color w:val="auto"/>
                <w:w w:val="99"/>
              </w:rPr>
              <w:t>2</w:t>
            </w:r>
          </w:p>
        </w:tc>
        <w:tc>
          <w:tcPr>
            <w:tcW w:w="140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8"/>
                <w:szCs w:val="28"/>
                <w:color w:val="auto"/>
                <w:w w:val="99"/>
              </w:rPr>
              <w:t>3</w:t>
            </w:r>
          </w:p>
        </w:tc>
        <w:tc>
          <w:tcPr>
            <w:tcW w:w="0" w:type="dxa"/>
            <w:vAlign w:val="bottom"/>
          </w:tcPr>
          <w:p>
            <w:pPr>
              <w:spacing w:after="0"/>
              <w:rPr>
                <w:sz w:val="1"/>
                <w:szCs w:val="1"/>
                <w:color w:val="auto"/>
              </w:rPr>
            </w:pPr>
          </w:p>
        </w:tc>
      </w:tr>
      <w:tr>
        <w:trPr>
          <w:trHeight w:val="186"/>
        </w:trPr>
        <w:tc>
          <w:tcPr>
            <w:tcW w:w="5720" w:type="dxa"/>
            <w:vAlign w:val="bottom"/>
            <w:tcBorders>
              <w:left w:val="single" w:sz="8" w:color="auto"/>
              <w:bottom w:val="single" w:sz="8" w:color="auto"/>
              <w:right w:val="single" w:sz="8" w:color="auto"/>
            </w:tcBorders>
          </w:tcPr>
          <w:p>
            <w:pPr>
              <w:spacing w:after="0"/>
              <w:rPr>
                <w:sz w:val="16"/>
                <w:szCs w:val="16"/>
                <w:color w:val="auto"/>
              </w:rPr>
            </w:pPr>
          </w:p>
        </w:tc>
        <w:tc>
          <w:tcPr>
            <w:tcW w:w="1220" w:type="dxa"/>
            <w:vAlign w:val="bottom"/>
            <w:tcBorders>
              <w:bottom w:val="single" w:sz="8" w:color="auto"/>
              <w:right w:val="single" w:sz="8" w:color="auto"/>
            </w:tcBorders>
            <w:vMerge w:val="continue"/>
          </w:tcPr>
          <w:p>
            <w:pPr>
              <w:spacing w:after="0"/>
              <w:rPr>
                <w:sz w:val="16"/>
                <w:szCs w:val="16"/>
                <w:color w:val="auto"/>
              </w:rPr>
            </w:pPr>
          </w:p>
        </w:tc>
        <w:tc>
          <w:tcPr>
            <w:tcW w:w="1260" w:type="dxa"/>
            <w:vAlign w:val="bottom"/>
            <w:tcBorders>
              <w:bottom w:val="single" w:sz="8" w:color="auto"/>
              <w:right w:val="single" w:sz="8" w:color="auto"/>
            </w:tcBorders>
            <w:vMerge w:val="continue"/>
          </w:tcPr>
          <w:p>
            <w:pPr>
              <w:spacing w:after="0"/>
              <w:rPr>
                <w:sz w:val="16"/>
                <w:szCs w:val="16"/>
                <w:color w:val="auto"/>
              </w:rPr>
            </w:pPr>
          </w:p>
        </w:tc>
        <w:tc>
          <w:tcPr>
            <w:tcW w:w="1400" w:type="dxa"/>
            <w:vAlign w:val="bottom"/>
            <w:tcBorders>
              <w:bottom w:val="single" w:sz="8" w:color="auto"/>
              <w:right w:val="single" w:sz="8" w:color="auto"/>
            </w:tcBorders>
            <w:vMerge w:val="continue"/>
          </w:tcPr>
          <w:p>
            <w:pPr>
              <w:spacing w:after="0"/>
              <w:rPr>
                <w:sz w:val="16"/>
                <w:szCs w:val="16"/>
                <w:color w:val="auto"/>
              </w:rPr>
            </w:pPr>
          </w:p>
        </w:tc>
        <w:tc>
          <w:tcPr>
            <w:tcW w:w="0" w:type="dxa"/>
            <w:vAlign w:val="bottom"/>
          </w:tcPr>
          <w:p>
            <w:pPr>
              <w:spacing w:after="0"/>
              <w:rPr>
                <w:sz w:val="1"/>
                <w:szCs w:val="1"/>
                <w:color w:val="auto"/>
              </w:rPr>
            </w:pPr>
          </w:p>
        </w:tc>
      </w:tr>
      <w:tr>
        <w:trPr>
          <w:trHeight w:val="317"/>
        </w:trPr>
        <w:tc>
          <w:tcPr>
            <w:tcW w:w="5720" w:type="dxa"/>
            <w:vAlign w:val="bottom"/>
            <w:tcBorders>
              <w:left w:val="single" w:sz="8" w:color="auto"/>
              <w:right w:val="single" w:sz="8" w:color="auto"/>
            </w:tcBorders>
          </w:tcPr>
          <w:p>
            <w:pPr>
              <w:ind w:left="120"/>
              <w:spacing w:after="0" w:line="317" w:lineRule="exact"/>
              <w:rPr>
                <w:sz w:val="20"/>
                <w:szCs w:val="20"/>
                <w:color w:val="auto"/>
              </w:rPr>
            </w:pPr>
            <w:r>
              <w:rPr>
                <w:rFonts w:ascii="Times New Roman" w:cs="Times New Roman" w:eastAsia="Times New Roman" w:hAnsi="Times New Roman"/>
                <w:sz w:val="28"/>
                <w:szCs w:val="28"/>
                <w:color w:val="auto"/>
              </w:rPr>
              <w:t>Выручка  (валовой  доход)  от  реализации</w:t>
            </w:r>
          </w:p>
        </w:tc>
        <w:tc>
          <w:tcPr>
            <w:tcW w:w="1220" w:type="dxa"/>
            <w:vAlign w:val="bottom"/>
            <w:tcBorders>
              <w:right w:val="single" w:sz="8" w:color="auto"/>
            </w:tcBorders>
          </w:tcPr>
          <w:p>
            <w:pPr>
              <w:jc w:val="center"/>
              <w:spacing w:after="0" w:line="317" w:lineRule="exact"/>
              <w:rPr>
                <w:sz w:val="20"/>
                <w:szCs w:val="20"/>
                <w:color w:val="auto"/>
              </w:rPr>
            </w:pPr>
            <w:r>
              <w:rPr>
                <w:rFonts w:ascii="Times New Roman" w:cs="Times New Roman" w:eastAsia="Times New Roman" w:hAnsi="Times New Roman"/>
                <w:sz w:val="28"/>
                <w:szCs w:val="28"/>
                <w:color w:val="auto"/>
                <w:w w:val="99"/>
              </w:rPr>
              <w:t>1452290</w:t>
            </w:r>
          </w:p>
        </w:tc>
        <w:tc>
          <w:tcPr>
            <w:tcW w:w="1260" w:type="dxa"/>
            <w:vAlign w:val="bottom"/>
            <w:tcBorders>
              <w:right w:val="single" w:sz="8" w:color="auto"/>
            </w:tcBorders>
          </w:tcPr>
          <w:p>
            <w:pPr>
              <w:jc w:val="center"/>
              <w:spacing w:after="0" w:line="317" w:lineRule="exact"/>
              <w:rPr>
                <w:sz w:val="20"/>
                <w:szCs w:val="20"/>
                <w:color w:val="auto"/>
              </w:rPr>
            </w:pPr>
            <w:r>
              <w:rPr>
                <w:rFonts w:ascii="Times New Roman" w:cs="Times New Roman" w:eastAsia="Times New Roman" w:hAnsi="Times New Roman"/>
                <w:sz w:val="28"/>
                <w:szCs w:val="28"/>
                <w:color w:val="auto"/>
                <w:w w:val="99"/>
              </w:rPr>
              <w:t>1452290</w:t>
            </w:r>
          </w:p>
        </w:tc>
        <w:tc>
          <w:tcPr>
            <w:tcW w:w="1400" w:type="dxa"/>
            <w:vAlign w:val="bottom"/>
            <w:tcBorders>
              <w:right w:val="single" w:sz="8" w:color="auto"/>
            </w:tcBorders>
          </w:tcPr>
          <w:p>
            <w:pPr>
              <w:jc w:val="center"/>
              <w:spacing w:after="0" w:line="317" w:lineRule="exact"/>
              <w:rPr>
                <w:sz w:val="20"/>
                <w:szCs w:val="20"/>
                <w:color w:val="auto"/>
              </w:rPr>
            </w:pPr>
            <w:r>
              <w:rPr>
                <w:rFonts w:ascii="Times New Roman" w:cs="Times New Roman" w:eastAsia="Times New Roman" w:hAnsi="Times New Roman"/>
                <w:sz w:val="28"/>
                <w:szCs w:val="28"/>
                <w:color w:val="auto"/>
                <w:w w:val="99"/>
              </w:rPr>
              <w:t>1452290</w:t>
            </w:r>
          </w:p>
        </w:tc>
        <w:tc>
          <w:tcPr>
            <w:tcW w:w="0" w:type="dxa"/>
            <w:vAlign w:val="bottom"/>
          </w:tcPr>
          <w:p>
            <w:pPr>
              <w:spacing w:after="0"/>
              <w:rPr>
                <w:sz w:val="1"/>
                <w:szCs w:val="1"/>
                <w:color w:val="auto"/>
              </w:rPr>
            </w:pPr>
          </w:p>
        </w:tc>
      </w:tr>
      <w:tr>
        <w:trPr>
          <w:trHeight w:val="367"/>
        </w:trPr>
        <w:tc>
          <w:tcPr>
            <w:tcW w:w="5720" w:type="dxa"/>
            <w:vAlign w:val="bottom"/>
            <w:tcBorders>
              <w:left w:val="single" w:sz="8" w:color="auto"/>
              <w:bottom w:val="single" w:sz="8" w:color="auto"/>
              <w:right w:val="single" w:sz="8" w:color="auto"/>
            </w:tcBorders>
          </w:tcPr>
          <w:p>
            <w:pPr>
              <w:ind w:left="120"/>
              <w:spacing w:after="0"/>
              <w:rPr>
                <w:sz w:val="20"/>
                <w:szCs w:val="20"/>
                <w:color w:val="auto"/>
              </w:rPr>
            </w:pPr>
            <w:r>
              <w:rPr>
                <w:rFonts w:ascii="Times New Roman" w:cs="Times New Roman" w:eastAsia="Times New Roman" w:hAnsi="Times New Roman"/>
                <w:sz w:val="28"/>
                <w:szCs w:val="28"/>
                <w:color w:val="auto"/>
              </w:rPr>
              <w:t>продукции, руб.</w:t>
            </w:r>
          </w:p>
        </w:tc>
        <w:tc>
          <w:tcPr>
            <w:tcW w:w="1220" w:type="dxa"/>
            <w:vAlign w:val="bottom"/>
            <w:tcBorders>
              <w:bottom w:val="single" w:sz="8" w:color="auto"/>
              <w:right w:val="single" w:sz="8" w:color="auto"/>
            </w:tcBorders>
          </w:tcPr>
          <w:p>
            <w:pPr>
              <w:spacing w:after="0"/>
              <w:rPr>
                <w:sz w:val="24"/>
                <w:szCs w:val="24"/>
                <w:color w:val="auto"/>
              </w:rPr>
            </w:pPr>
          </w:p>
        </w:tc>
        <w:tc>
          <w:tcPr>
            <w:tcW w:w="1260" w:type="dxa"/>
            <w:vAlign w:val="bottom"/>
            <w:tcBorders>
              <w:bottom w:val="single" w:sz="8" w:color="auto"/>
              <w:right w:val="single" w:sz="8" w:color="auto"/>
            </w:tcBorders>
          </w:tcPr>
          <w:p>
            <w:pPr>
              <w:spacing w:after="0"/>
              <w:rPr>
                <w:sz w:val="24"/>
                <w:szCs w:val="24"/>
                <w:color w:val="auto"/>
              </w:rPr>
            </w:pPr>
          </w:p>
        </w:tc>
        <w:tc>
          <w:tcPr>
            <w:tcW w:w="140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20"/>
        </w:trPr>
        <w:tc>
          <w:tcPr>
            <w:tcW w:w="5720" w:type="dxa"/>
            <w:vAlign w:val="bottom"/>
            <w:tcBorders>
              <w:left w:val="single" w:sz="8" w:color="auto"/>
              <w:right w:val="single" w:sz="8" w:color="auto"/>
            </w:tcBorders>
          </w:tcPr>
          <w:p>
            <w:pPr>
              <w:ind w:left="120"/>
              <w:spacing w:after="0" w:line="320" w:lineRule="exact"/>
              <w:rPr>
                <w:sz w:val="20"/>
                <w:szCs w:val="20"/>
                <w:color w:val="auto"/>
              </w:rPr>
            </w:pPr>
            <w:r>
              <w:rPr>
                <w:rFonts w:ascii="Times New Roman" w:cs="Times New Roman" w:eastAsia="Times New Roman" w:hAnsi="Times New Roman"/>
                <w:sz w:val="28"/>
                <w:szCs w:val="28"/>
                <w:color w:val="auto"/>
              </w:rPr>
              <w:t>Затраты  на  производство  и  реализацию</w:t>
            </w:r>
          </w:p>
        </w:tc>
        <w:tc>
          <w:tcPr>
            <w:tcW w:w="1220" w:type="dxa"/>
            <w:vAlign w:val="bottom"/>
            <w:tcBorders>
              <w:right w:val="single" w:sz="8" w:color="auto"/>
            </w:tcBorders>
          </w:tcPr>
          <w:p>
            <w:pPr>
              <w:jc w:val="center"/>
              <w:spacing w:after="0" w:line="320" w:lineRule="exact"/>
              <w:rPr>
                <w:sz w:val="20"/>
                <w:szCs w:val="20"/>
                <w:color w:val="auto"/>
              </w:rPr>
            </w:pPr>
            <w:r>
              <w:rPr>
                <w:rFonts w:ascii="Times New Roman" w:cs="Times New Roman" w:eastAsia="Times New Roman" w:hAnsi="Times New Roman"/>
                <w:sz w:val="28"/>
                <w:szCs w:val="28"/>
                <w:color w:val="auto"/>
                <w:w w:val="99"/>
              </w:rPr>
              <w:t>1402250</w:t>
            </w:r>
          </w:p>
        </w:tc>
        <w:tc>
          <w:tcPr>
            <w:tcW w:w="1260" w:type="dxa"/>
            <w:vAlign w:val="bottom"/>
            <w:tcBorders>
              <w:right w:val="single" w:sz="8" w:color="auto"/>
            </w:tcBorders>
          </w:tcPr>
          <w:p>
            <w:pPr>
              <w:jc w:val="center"/>
              <w:spacing w:after="0" w:line="320" w:lineRule="exact"/>
              <w:rPr>
                <w:sz w:val="20"/>
                <w:szCs w:val="20"/>
                <w:color w:val="auto"/>
              </w:rPr>
            </w:pPr>
            <w:r>
              <w:rPr>
                <w:rFonts w:ascii="Times New Roman" w:cs="Times New Roman" w:eastAsia="Times New Roman" w:hAnsi="Times New Roman"/>
                <w:sz w:val="28"/>
                <w:szCs w:val="28"/>
                <w:color w:val="auto"/>
                <w:w w:val="99"/>
              </w:rPr>
              <w:t>1403750</w:t>
            </w:r>
          </w:p>
        </w:tc>
        <w:tc>
          <w:tcPr>
            <w:tcW w:w="1400" w:type="dxa"/>
            <w:vAlign w:val="bottom"/>
            <w:tcBorders>
              <w:right w:val="single" w:sz="8" w:color="auto"/>
            </w:tcBorders>
          </w:tcPr>
          <w:p>
            <w:pPr>
              <w:jc w:val="center"/>
              <w:spacing w:after="0" w:line="320" w:lineRule="exact"/>
              <w:rPr>
                <w:sz w:val="20"/>
                <w:szCs w:val="20"/>
                <w:color w:val="auto"/>
              </w:rPr>
            </w:pPr>
            <w:r>
              <w:rPr>
                <w:rFonts w:ascii="Times New Roman" w:cs="Times New Roman" w:eastAsia="Times New Roman" w:hAnsi="Times New Roman"/>
                <w:sz w:val="28"/>
                <w:szCs w:val="28"/>
                <w:color w:val="auto"/>
                <w:w w:val="99"/>
              </w:rPr>
              <w:t>1405690</w:t>
            </w:r>
          </w:p>
        </w:tc>
        <w:tc>
          <w:tcPr>
            <w:tcW w:w="0" w:type="dxa"/>
            <w:vAlign w:val="bottom"/>
          </w:tcPr>
          <w:p>
            <w:pPr>
              <w:spacing w:after="0"/>
              <w:rPr>
                <w:sz w:val="1"/>
                <w:szCs w:val="1"/>
                <w:color w:val="auto"/>
              </w:rPr>
            </w:pPr>
          </w:p>
        </w:tc>
      </w:tr>
      <w:tr>
        <w:trPr>
          <w:trHeight w:val="367"/>
        </w:trPr>
        <w:tc>
          <w:tcPr>
            <w:tcW w:w="5720" w:type="dxa"/>
            <w:vAlign w:val="bottom"/>
            <w:tcBorders>
              <w:left w:val="single" w:sz="8" w:color="auto"/>
              <w:bottom w:val="single" w:sz="8" w:color="auto"/>
              <w:right w:val="single" w:sz="8" w:color="auto"/>
            </w:tcBorders>
          </w:tcPr>
          <w:p>
            <w:pPr>
              <w:ind w:left="120"/>
              <w:spacing w:after="0"/>
              <w:rPr>
                <w:sz w:val="20"/>
                <w:szCs w:val="20"/>
                <w:color w:val="auto"/>
              </w:rPr>
            </w:pPr>
            <w:r>
              <w:rPr>
                <w:rFonts w:ascii="Times New Roman" w:cs="Times New Roman" w:eastAsia="Times New Roman" w:hAnsi="Times New Roman"/>
                <w:sz w:val="28"/>
                <w:szCs w:val="28"/>
                <w:color w:val="auto"/>
              </w:rPr>
              <w:t>продукции (без амортизации), руб.</w:t>
            </w:r>
          </w:p>
        </w:tc>
        <w:tc>
          <w:tcPr>
            <w:tcW w:w="1220" w:type="dxa"/>
            <w:vAlign w:val="bottom"/>
            <w:tcBorders>
              <w:bottom w:val="single" w:sz="8" w:color="auto"/>
              <w:right w:val="single" w:sz="8" w:color="auto"/>
            </w:tcBorders>
          </w:tcPr>
          <w:p>
            <w:pPr>
              <w:spacing w:after="0"/>
              <w:rPr>
                <w:sz w:val="24"/>
                <w:szCs w:val="24"/>
                <w:color w:val="auto"/>
              </w:rPr>
            </w:pPr>
          </w:p>
        </w:tc>
        <w:tc>
          <w:tcPr>
            <w:tcW w:w="1260" w:type="dxa"/>
            <w:vAlign w:val="bottom"/>
            <w:tcBorders>
              <w:bottom w:val="single" w:sz="8" w:color="auto"/>
              <w:right w:val="single" w:sz="8" w:color="auto"/>
            </w:tcBorders>
          </w:tcPr>
          <w:p>
            <w:pPr>
              <w:spacing w:after="0"/>
              <w:rPr>
                <w:sz w:val="24"/>
                <w:szCs w:val="24"/>
                <w:color w:val="auto"/>
              </w:rPr>
            </w:pPr>
          </w:p>
        </w:tc>
        <w:tc>
          <w:tcPr>
            <w:tcW w:w="140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42"/>
        </w:trPr>
        <w:tc>
          <w:tcPr>
            <w:tcW w:w="5720" w:type="dxa"/>
            <w:vAlign w:val="bottom"/>
            <w:tcBorders>
              <w:left w:val="single" w:sz="8" w:color="auto"/>
              <w:bottom w:val="single" w:sz="8" w:color="auto"/>
              <w:right w:val="single" w:sz="8" w:color="auto"/>
            </w:tcBorders>
          </w:tcPr>
          <w:p>
            <w:pPr>
              <w:ind w:left="120"/>
              <w:spacing w:after="0"/>
              <w:rPr>
                <w:sz w:val="20"/>
                <w:szCs w:val="20"/>
                <w:color w:val="auto"/>
              </w:rPr>
            </w:pPr>
            <w:r>
              <w:rPr>
                <w:rFonts w:ascii="Times New Roman" w:cs="Times New Roman" w:eastAsia="Times New Roman" w:hAnsi="Times New Roman"/>
                <w:sz w:val="28"/>
                <w:szCs w:val="28"/>
                <w:color w:val="auto"/>
              </w:rPr>
              <w:t>Чистый доход, руб.</w:t>
            </w:r>
          </w:p>
        </w:tc>
        <w:tc>
          <w:tcPr>
            <w:tcW w:w="122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8"/>
                <w:szCs w:val="28"/>
                <w:color w:val="auto"/>
                <w:w w:val="99"/>
              </w:rPr>
              <w:t>50040</w:t>
            </w:r>
          </w:p>
        </w:tc>
        <w:tc>
          <w:tcPr>
            <w:tcW w:w="126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8"/>
                <w:szCs w:val="28"/>
                <w:color w:val="auto"/>
                <w:w w:val="99"/>
              </w:rPr>
              <w:t>48540</w:t>
            </w:r>
          </w:p>
        </w:tc>
        <w:tc>
          <w:tcPr>
            <w:tcW w:w="140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8"/>
                <w:szCs w:val="28"/>
                <w:color w:val="auto"/>
                <w:w w:val="99"/>
              </w:rPr>
              <w:t>46600</w:t>
            </w:r>
          </w:p>
        </w:tc>
        <w:tc>
          <w:tcPr>
            <w:tcW w:w="0" w:type="dxa"/>
            <w:vAlign w:val="bottom"/>
          </w:tcPr>
          <w:p>
            <w:pPr>
              <w:spacing w:after="0"/>
              <w:rPr>
                <w:sz w:val="1"/>
                <w:szCs w:val="1"/>
                <w:color w:val="auto"/>
              </w:rPr>
            </w:pPr>
          </w:p>
        </w:tc>
      </w:tr>
      <w:tr>
        <w:trPr>
          <w:trHeight w:val="339"/>
        </w:trPr>
        <w:tc>
          <w:tcPr>
            <w:tcW w:w="5720" w:type="dxa"/>
            <w:vAlign w:val="bottom"/>
            <w:tcBorders>
              <w:left w:val="single" w:sz="8" w:color="auto"/>
              <w:bottom w:val="single" w:sz="8" w:color="auto"/>
              <w:right w:val="single" w:sz="8" w:color="auto"/>
            </w:tcBorders>
          </w:tcPr>
          <w:p>
            <w:pPr>
              <w:ind w:left="120"/>
              <w:spacing w:after="0"/>
              <w:rPr>
                <w:sz w:val="20"/>
                <w:szCs w:val="20"/>
                <w:color w:val="auto"/>
              </w:rPr>
            </w:pPr>
            <w:r>
              <w:rPr>
                <w:rFonts w:ascii="Times New Roman" w:cs="Times New Roman" w:eastAsia="Times New Roman" w:hAnsi="Times New Roman"/>
                <w:sz w:val="28"/>
                <w:szCs w:val="28"/>
                <w:color w:val="auto"/>
              </w:rPr>
              <w:t>Темп изменения чистого дохода, %</w:t>
            </w:r>
          </w:p>
        </w:tc>
        <w:tc>
          <w:tcPr>
            <w:tcW w:w="122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8"/>
                <w:szCs w:val="28"/>
                <w:color w:val="auto"/>
              </w:rPr>
              <w:t>-</w:t>
            </w:r>
          </w:p>
        </w:tc>
        <w:tc>
          <w:tcPr>
            <w:tcW w:w="126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8"/>
                <w:szCs w:val="28"/>
                <w:color w:val="auto"/>
                <w:w w:val="94"/>
              </w:rPr>
              <w:t>-3</w:t>
            </w:r>
          </w:p>
        </w:tc>
        <w:tc>
          <w:tcPr>
            <w:tcW w:w="140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8"/>
                <w:szCs w:val="28"/>
                <w:color w:val="auto"/>
              </w:rPr>
              <w:t>-4</w:t>
            </w:r>
          </w:p>
        </w:tc>
        <w:tc>
          <w:tcPr>
            <w:tcW w:w="0" w:type="dxa"/>
            <w:vAlign w:val="bottom"/>
          </w:tcPr>
          <w:p>
            <w:pPr>
              <w:spacing w:after="0"/>
              <w:rPr>
                <w:sz w:val="1"/>
                <w:szCs w:val="1"/>
                <w:color w:val="auto"/>
              </w:rPr>
            </w:pPr>
          </w:p>
        </w:tc>
      </w:tr>
    </w:tbl>
    <w:p>
      <w:pPr>
        <w:spacing w:after="0" w:line="301" w:lineRule="exact"/>
        <w:rPr>
          <w:sz w:val="20"/>
          <w:szCs w:val="20"/>
          <w:color w:val="auto"/>
        </w:rPr>
      </w:pPr>
    </w:p>
    <w:p>
      <w:pPr>
        <w:ind w:left="980"/>
        <w:spacing w:after="0"/>
        <w:rPr>
          <w:sz w:val="20"/>
          <w:szCs w:val="20"/>
          <w:color w:val="auto"/>
        </w:rPr>
      </w:pPr>
      <w:r>
        <w:rPr>
          <w:rFonts w:ascii="Times New Roman" w:cs="Times New Roman" w:eastAsia="Times New Roman" w:hAnsi="Times New Roman"/>
          <w:sz w:val="28"/>
          <w:szCs w:val="28"/>
          <w:u w:val="single" w:color="auto"/>
          <w:color w:val="auto"/>
        </w:rPr>
        <w:t>Решение.</w:t>
      </w:r>
    </w:p>
    <w:p>
      <w:pPr>
        <w:jc w:val="both"/>
        <w:ind w:left="260" w:right="100" w:firstLine="720"/>
        <w:spacing w:after="0"/>
        <w:rPr>
          <w:sz w:val="20"/>
          <w:szCs w:val="20"/>
          <w:color w:val="auto"/>
        </w:rPr>
      </w:pPr>
      <w:r>
        <w:rPr>
          <w:rFonts w:ascii="Times New Roman" w:cs="Times New Roman" w:eastAsia="Times New Roman" w:hAnsi="Times New Roman"/>
          <w:sz w:val="28"/>
          <w:szCs w:val="28"/>
          <w:color w:val="auto"/>
        </w:rPr>
        <w:t>Метод дисконтированных чистых доходов осуществляется в приведенной ниже последовательности.</w:t>
      </w:r>
    </w:p>
    <w:p>
      <w:pPr>
        <w:jc w:val="both"/>
        <w:ind w:left="260" w:right="100" w:firstLine="720"/>
        <w:spacing w:after="0" w:line="239" w:lineRule="auto"/>
        <w:rPr>
          <w:sz w:val="20"/>
          <w:szCs w:val="20"/>
          <w:color w:val="auto"/>
        </w:rPr>
      </w:pPr>
      <w:r>
        <w:rPr>
          <w:rFonts w:ascii="Times New Roman" w:cs="Times New Roman" w:eastAsia="Times New Roman" w:hAnsi="Times New Roman"/>
          <w:sz w:val="28"/>
          <w:szCs w:val="28"/>
          <w:color w:val="auto"/>
        </w:rPr>
        <w:t>Этап 1. Выделяют оцениваемый машинный комплекс, включающий взаимодействующее технологическое и вспомогательное оборудование и входящий в производственную или коммерческую систему (предприятие, цех, участок), и рассчитывают чистый доход от функционирования этой системы.</w:t>
      </w:r>
    </w:p>
    <w:p>
      <w:pPr>
        <w:spacing w:after="0" w:line="6" w:lineRule="exact"/>
        <w:rPr>
          <w:sz w:val="20"/>
          <w:szCs w:val="20"/>
          <w:color w:val="auto"/>
        </w:rPr>
      </w:pPr>
    </w:p>
    <w:p>
      <w:pPr>
        <w:jc w:val="both"/>
        <w:ind w:left="260" w:right="100" w:firstLine="720"/>
        <w:spacing w:after="0"/>
        <w:rPr>
          <w:sz w:val="20"/>
          <w:szCs w:val="20"/>
          <w:color w:val="auto"/>
        </w:rPr>
      </w:pPr>
      <w:r>
        <w:rPr>
          <w:rFonts w:ascii="Times New Roman" w:cs="Times New Roman" w:eastAsia="Times New Roman" w:hAnsi="Times New Roman"/>
          <w:sz w:val="28"/>
          <w:szCs w:val="28"/>
          <w:color w:val="auto"/>
        </w:rPr>
        <w:t>Чистый доход представляет собой разность между выручкой от реализации и суммой затрат на производство и реализацию продукции. Причем в сумму затрат не входит амортизация.</w:t>
      </w:r>
    </w:p>
    <w:p>
      <w:pPr>
        <w:jc w:val="both"/>
        <w:ind w:left="260" w:right="100" w:firstLine="720"/>
        <w:spacing w:after="0" w:line="255" w:lineRule="auto"/>
        <w:rPr>
          <w:sz w:val="20"/>
          <w:szCs w:val="20"/>
          <w:color w:val="auto"/>
        </w:rPr>
      </w:pPr>
      <w:r>
        <w:rPr>
          <w:rFonts w:ascii="Times New Roman" w:cs="Times New Roman" w:eastAsia="Times New Roman" w:hAnsi="Times New Roman"/>
          <w:sz w:val="28"/>
          <w:szCs w:val="28"/>
          <w:color w:val="auto"/>
        </w:rPr>
        <w:t>Этап 2. Определяют текущую стоимость производственной системы как сумму дисконтированных чистых доходов за срок службы машинного комплекса по формуле:</w:t>
      </w:r>
    </w:p>
    <w:p>
      <w:pPr>
        <w:spacing w:after="0" w:line="198" w:lineRule="exact"/>
        <w:rPr>
          <w:sz w:val="20"/>
          <w:szCs w:val="20"/>
          <w:color w:val="auto"/>
        </w:rPr>
      </w:pPr>
    </w:p>
    <w:tbl>
      <w:tblPr>
        <w:tblLayout w:type="fixed"/>
        <w:tblInd w:w="2440" w:type="dxa"/>
        <w:tblCellMar>
          <w:top w:w="0" w:type="dxa"/>
          <w:left w:w="0" w:type="dxa"/>
          <w:bottom w:w="0" w:type="dxa"/>
          <w:right w:w="0" w:type="dxa"/>
        </w:tblCellMar>
      </w:tblPr>
      <w:tr>
        <w:trPr>
          <w:trHeight w:val="481"/>
        </w:trPr>
        <w:tc>
          <w:tcPr>
            <w:tcW w:w="440" w:type="dxa"/>
            <w:vAlign w:val="bottom"/>
            <w:vMerge w:val="restart"/>
          </w:tcPr>
          <w:p>
            <w:pPr>
              <w:spacing w:after="0"/>
              <w:rPr>
                <w:sz w:val="20"/>
                <w:szCs w:val="20"/>
                <w:color w:val="auto"/>
              </w:rPr>
            </w:pPr>
            <w:r>
              <w:rPr>
                <w:rFonts w:ascii="Times New Roman" w:cs="Times New Roman" w:eastAsia="Times New Roman" w:hAnsi="Times New Roman"/>
                <w:sz w:val="30"/>
                <w:szCs w:val="30"/>
                <w:i w:val="1"/>
                <w:iCs w:val="1"/>
                <w:color w:val="auto"/>
              </w:rPr>
              <w:t xml:space="preserve">S </w:t>
            </w:r>
            <w:r>
              <w:rPr>
                <w:rFonts w:ascii="Symbol" w:cs="Symbol" w:eastAsia="Symbol" w:hAnsi="Symbol"/>
                <w:sz w:val="30"/>
                <w:szCs w:val="30"/>
                <w:color w:val="auto"/>
              </w:rPr>
              <w:t></w:t>
            </w:r>
          </w:p>
        </w:tc>
        <w:tc>
          <w:tcPr>
            <w:tcW w:w="40" w:type="dxa"/>
            <w:vAlign w:val="bottom"/>
          </w:tcPr>
          <w:p>
            <w:pPr>
              <w:spacing w:after="0"/>
              <w:rPr>
                <w:sz w:val="24"/>
                <w:szCs w:val="24"/>
                <w:color w:val="auto"/>
              </w:rPr>
            </w:pPr>
          </w:p>
        </w:tc>
        <w:tc>
          <w:tcPr>
            <w:tcW w:w="52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30"/>
                <w:szCs w:val="30"/>
                <w:i w:val="1"/>
                <w:iCs w:val="1"/>
                <w:color w:val="auto"/>
                <w:w w:val="93"/>
              </w:rPr>
              <w:t>E</w:t>
            </w:r>
            <w:r>
              <w:rPr>
                <w:rFonts w:ascii="Times New Roman" w:cs="Times New Roman" w:eastAsia="Times New Roman" w:hAnsi="Times New Roman"/>
                <w:sz w:val="35"/>
                <w:szCs w:val="35"/>
                <w:color w:val="auto"/>
                <w:w w:val="93"/>
                <w:vertAlign w:val="subscript"/>
              </w:rPr>
              <w:t>1</w:t>
            </w:r>
          </w:p>
        </w:tc>
        <w:tc>
          <w:tcPr>
            <w:tcW w:w="300" w:type="dxa"/>
            <w:vAlign w:val="bottom"/>
            <w:vMerge w:val="restart"/>
          </w:tcPr>
          <w:p>
            <w:pPr>
              <w:ind w:left="80"/>
              <w:spacing w:after="0"/>
              <w:rPr>
                <w:sz w:val="20"/>
                <w:szCs w:val="20"/>
                <w:color w:val="auto"/>
              </w:rPr>
            </w:pPr>
            <w:r>
              <w:rPr>
                <w:rFonts w:ascii="Symbol" w:cs="Symbol" w:eastAsia="Symbol" w:hAnsi="Symbol"/>
                <w:sz w:val="30"/>
                <w:szCs w:val="30"/>
                <w:color w:val="auto"/>
              </w:rPr>
              <w:t></w:t>
            </w:r>
          </w:p>
        </w:tc>
        <w:tc>
          <w:tcPr>
            <w:tcW w:w="88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30"/>
                <w:szCs w:val="30"/>
                <w:i w:val="1"/>
                <w:iCs w:val="1"/>
                <w:color w:val="auto"/>
                <w:w w:val="93"/>
              </w:rPr>
              <w:t>E</w:t>
            </w:r>
            <w:r>
              <w:rPr>
                <w:rFonts w:ascii="Times New Roman" w:cs="Times New Roman" w:eastAsia="Times New Roman" w:hAnsi="Times New Roman"/>
                <w:sz w:val="35"/>
                <w:szCs w:val="35"/>
                <w:color w:val="auto"/>
                <w:w w:val="93"/>
                <w:vertAlign w:val="subscript"/>
              </w:rPr>
              <w:t>2</w:t>
            </w:r>
          </w:p>
        </w:tc>
        <w:tc>
          <w:tcPr>
            <w:tcW w:w="740" w:type="dxa"/>
            <w:vAlign w:val="bottom"/>
            <w:vMerge w:val="restart"/>
          </w:tcPr>
          <w:p>
            <w:pPr>
              <w:ind w:left="60"/>
              <w:spacing w:after="0"/>
              <w:rPr>
                <w:sz w:val="20"/>
                <w:szCs w:val="20"/>
                <w:color w:val="auto"/>
              </w:rPr>
            </w:pPr>
            <w:r>
              <w:rPr>
                <w:rFonts w:ascii="Symbol" w:cs="Symbol" w:eastAsia="Symbol" w:hAnsi="Symbol"/>
                <w:sz w:val="30"/>
                <w:szCs w:val="30"/>
                <w:color w:val="auto"/>
                <w:w w:val="93"/>
              </w:rPr>
              <w:t></w:t>
            </w:r>
            <w:r>
              <w:rPr>
                <w:rFonts w:ascii="Times New Roman" w:cs="Times New Roman" w:eastAsia="Times New Roman" w:hAnsi="Times New Roman"/>
                <w:sz w:val="30"/>
                <w:szCs w:val="30"/>
                <w:color w:val="auto"/>
                <w:w w:val="93"/>
              </w:rPr>
              <w:t xml:space="preserve"> ... </w:t>
            </w:r>
            <w:r>
              <w:rPr>
                <w:rFonts w:ascii="Symbol" w:cs="Symbol" w:eastAsia="Symbol" w:hAnsi="Symbol"/>
                <w:sz w:val="30"/>
                <w:szCs w:val="30"/>
                <w:color w:val="auto"/>
                <w:w w:val="93"/>
              </w:rPr>
              <w:t></w:t>
            </w:r>
          </w:p>
        </w:tc>
        <w:tc>
          <w:tcPr>
            <w:tcW w:w="26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ind w:left="40"/>
              <w:spacing w:after="0"/>
              <w:rPr>
                <w:sz w:val="20"/>
                <w:szCs w:val="20"/>
                <w:color w:val="auto"/>
              </w:rPr>
            </w:pPr>
            <w:r>
              <w:rPr>
                <w:rFonts w:ascii="Times New Roman" w:cs="Times New Roman" w:eastAsia="Times New Roman" w:hAnsi="Times New Roman"/>
                <w:sz w:val="30"/>
                <w:szCs w:val="30"/>
                <w:i w:val="1"/>
                <w:iCs w:val="1"/>
                <w:color w:val="auto"/>
              </w:rPr>
              <w:t>E</w:t>
            </w:r>
            <w:r>
              <w:rPr>
                <w:rFonts w:ascii="Times New Roman" w:cs="Times New Roman" w:eastAsia="Times New Roman" w:hAnsi="Times New Roman"/>
                <w:sz w:val="35"/>
                <w:szCs w:val="35"/>
                <w:i w:val="1"/>
                <w:iCs w:val="1"/>
                <w:color w:val="auto"/>
                <w:vertAlign w:val="subscript"/>
              </w:rPr>
              <w:t>n</w:t>
            </w:r>
          </w:p>
        </w:tc>
        <w:tc>
          <w:tcPr>
            <w:tcW w:w="280" w:type="dxa"/>
            <w:vAlign w:val="bottom"/>
            <w:vMerge w:val="restart"/>
          </w:tcPr>
          <w:p>
            <w:pPr>
              <w:ind w:left="60"/>
              <w:spacing w:after="0"/>
              <w:rPr>
                <w:sz w:val="20"/>
                <w:szCs w:val="20"/>
                <w:color w:val="auto"/>
              </w:rPr>
            </w:pPr>
            <w:r>
              <w:rPr>
                <w:rFonts w:ascii="Symbol" w:cs="Symbol" w:eastAsia="Symbol" w:hAnsi="Symbol"/>
                <w:sz w:val="30"/>
                <w:szCs w:val="30"/>
                <w:color w:val="auto"/>
              </w:rPr>
              <w:t></w:t>
            </w:r>
          </w:p>
        </w:tc>
        <w:tc>
          <w:tcPr>
            <w:tcW w:w="26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ind w:left="40"/>
              <w:spacing w:after="0"/>
              <w:rPr>
                <w:sz w:val="20"/>
                <w:szCs w:val="20"/>
                <w:color w:val="auto"/>
              </w:rPr>
            </w:pPr>
            <w:r>
              <w:rPr>
                <w:rFonts w:ascii="Times New Roman" w:cs="Times New Roman" w:eastAsia="Times New Roman" w:hAnsi="Times New Roman"/>
                <w:sz w:val="30"/>
                <w:szCs w:val="30"/>
                <w:i w:val="1"/>
                <w:iCs w:val="1"/>
                <w:color w:val="auto"/>
              </w:rPr>
              <w:t>S</w:t>
            </w:r>
            <w:r>
              <w:rPr>
                <w:rFonts w:ascii="Times New Roman" w:cs="Times New Roman" w:eastAsia="Times New Roman" w:hAnsi="Times New Roman"/>
                <w:sz w:val="35"/>
                <w:szCs w:val="35"/>
                <w:i w:val="1"/>
                <w:iCs w:val="1"/>
                <w:color w:val="auto"/>
                <w:vertAlign w:val="subscript"/>
              </w:rPr>
              <w:t>n</w:t>
            </w:r>
          </w:p>
        </w:tc>
        <w:tc>
          <w:tcPr>
            <w:tcW w:w="0" w:type="dxa"/>
            <w:vAlign w:val="bottom"/>
          </w:tcPr>
          <w:p>
            <w:pPr>
              <w:spacing w:after="0"/>
              <w:rPr>
                <w:sz w:val="1"/>
                <w:szCs w:val="1"/>
                <w:color w:val="auto"/>
              </w:rPr>
            </w:pPr>
          </w:p>
        </w:tc>
      </w:tr>
      <w:tr>
        <w:trPr>
          <w:trHeight w:val="62"/>
        </w:trPr>
        <w:tc>
          <w:tcPr>
            <w:tcW w:w="440" w:type="dxa"/>
            <w:vAlign w:val="bottom"/>
            <w:vMerge w:val="continue"/>
          </w:tcPr>
          <w:p>
            <w:pPr>
              <w:spacing w:after="0"/>
              <w:rPr>
                <w:sz w:val="5"/>
                <w:szCs w:val="5"/>
                <w:color w:val="auto"/>
              </w:rPr>
            </w:pPr>
          </w:p>
        </w:tc>
        <w:tc>
          <w:tcPr>
            <w:tcW w:w="40" w:type="dxa"/>
            <w:vAlign w:val="bottom"/>
          </w:tcPr>
          <w:p>
            <w:pPr>
              <w:spacing w:after="0"/>
              <w:rPr>
                <w:sz w:val="5"/>
                <w:szCs w:val="5"/>
                <w:color w:val="auto"/>
              </w:rPr>
            </w:pPr>
          </w:p>
        </w:tc>
        <w:tc>
          <w:tcPr>
            <w:tcW w:w="520" w:type="dxa"/>
            <w:vAlign w:val="bottom"/>
          </w:tcPr>
          <w:p>
            <w:pPr>
              <w:spacing w:after="0"/>
              <w:rPr>
                <w:sz w:val="5"/>
                <w:szCs w:val="5"/>
                <w:color w:val="auto"/>
              </w:rPr>
            </w:pPr>
          </w:p>
        </w:tc>
        <w:tc>
          <w:tcPr>
            <w:tcW w:w="300" w:type="dxa"/>
            <w:vAlign w:val="bottom"/>
            <w:vMerge w:val="continue"/>
          </w:tcPr>
          <w:p>
            <w:pPr>
              <w:spacing w:after="0"/>
              <w:rPr>
                <w:sz w:val="5"/>
                <w:szCs w:val="5"/>
                <w:color w:val="auto"/>
              </w:rPr>
            </w:pPr>
          </w:p>
        </w:tc>
        <w:tc>
          <w:tcPr>
            <w:tcW w:w="880" w:type="dxa"/>
            <w:vAlign w:val="bottom"/>
            <w:vMerge w:val="restart"/>
          </w:tcPr>
          <w:p>
            <w:pPr>
              <w:jc w:val="center"/>
              <w:spacing w:after="0"/>
              <w:rPr>
                <w:sz w:val="20"/>
                <w:szCs w:val="20"/>
                <w:color w:val="auto"/>
              </w:rPr>
            </w:pPr>
            <w:r>
              <w:rPr>
                <w:rFonts w:ascii="Times New Roman" w:cs="Times New Roman" w:eastAsia="Times New Roman" w:hAnsi="Times New Roman"/>
                <w:sz w:val="30"/>
                <w:szCs w:val="30"/>
                <w:color w:val="auto"/>
                <w:w w:val="97"/>
              </w:rPr>
              <w:t>(1</w:t>
            </w:r>
            <w:r>
              <w:rPr>
                <w:rFonts w:ascii="Symbol" w:cs="Symbol" w:eastAsia="Symbol" w:hAnsi="Symbol"/>
                <w:sz w:val="30"/>
                <w:szCs w:val="30"/>
                <w:color w:val="auto"/>
                <w:w w:val="97"/>
              </w:rPr>
              <w:t></w:t>
            </w:r>
            <w:r>
              <w:rPr>
                <w:rFonts w:ascii="Times New Roman" w:cs="Times New Roman" w:eastAsia="Times New Roman" w:hAnsi="Times New Roman"/>
                <w:sz w:val="30"/>
                <w:szCs w:val="30"/>
                <w:color w:val="auto"/>
                <w:w w:val="97"/>
              </w:rPr>
              <w:t xml:space="preserve"> </w:t>
            </w:r>
            <w:r>
              <w:rPr>
                <w:rFonts w:ascii="Times New Roman" w:cs="Times New Roman" w:eastAsia="Times New Roman" w:hAnsi="Times New Roman"/>
                <w:sz w:val="30"/>
                <w:szCs w:val="30"/>
                <w:i w:val="1"/>
                <w:iCs w:val="1"/>
                <w:color w:val="auto"/>
                <w:w w:val="97"/>
              </w:rPr>
              <w:t>r</w:t>
            </w:r>
            <w:r>
              <w:rPr>
                <w:rFonts w:ascii="Times New Roman" w:cs="Times New Roman" w:eastAsia="Times New Roman" w:hAnsi="Times New Roman"/>
                <w:sz w:val="30"/>
                <w:szCs w:val="30"/>
                <w:color w:val="auto"/>
                <w:w w:val="97"/>
              </w:rPr>
              <w:t>)</w:t>
            </w:r>
            <w:r>
              <w:rPr>
                <w:rFonts w:ascii="Times New Roman" w:cs="Times New Roman" w:eastAsia="Times New Roman" w:hAnsi="Times New Roman"/>
                <w:sz w:val="35"/>
                <w:szCs w:val="35"/>
                <w:color w:val="auto"/>
                <w:w w:val="97"/>
                <w:vertAlign w:val="superscript"/>
              </w:rPr>
              <w:t>2</w:t>
            </w:r>
          </w:p>
        </w:tc>
        <w:tc>
          <w:tcPr>
            <w:tcW w:w="740" w:type="dxa"/>
            <w:vAlign w:val="bottom"/>
            <w:vMerge w:val="continue"/>
          </w:tcPr>
          <w:p>
            <w:pPr>
              <w:spacing w:after="0"/>
              <w:rPr>
                <w:sz w:val="5"/>
                <w:szCs w:val="5"/>
                <w:color w:val="auto"/>
              </w:rPr>
            </w:pPr>
          </w:p>
        </w:tc>
        <w:tc>
          <w:tcPr>
            <w:tcW w:w="260" w:type="dxa"/>
            <w:vAlign w:val="bottom"/>
            <w:vMerge w:val="restart"/>
          </w:tcPr>
          <w:p>
            <w:pPr>
              <w:jc w:val="right"/>
              <w:spacing w:after="0"/>
              <w:rPr>
                <w:sz w:val="20"/>
                <w:szCs w:val="20"/>
                <w:color w:val="auto"/>
              </w:rPr>
            </w:pPr>
            <w:r>
              <w:rPr>
                <w:rFonts w:ascii="Times New Roman" w:cs="Times New Roman" w:eastAsia="Times New Roman" w:hAnsi="Times New Roman"/>
                <w:sz w:val="30"/>
                <w:szCs w:val="30"/>
                <w:color w:val="auto"/>
                <w:w w:val="95"/>
              </w:rPr>
              <w:t>(1</w:t>
            </w:r>
          </w:p>
        </w:tc>
        <w:tc>
          <w:tcPr>
            <w:tcW w:w="640" w:type="dxa"/>
            <w:vAlign w:val="bottom"/>
            <w:vMerge w:val="restart"/>
          </w:tcPr>
          <w:p>
            <w:pPr>
              <w:ind w:left="20"/>
              <w:spacing w:after="0"/>
              <w:rPr>
                <w:sz w:val="20"/>
                <w:szCs w:val="20"/>
                <w:color w:val="auto"/>
              </w:rPr>
            </w:pPr>
            <w:r>
              <w:rPr>
                <w:rFonts w:ascii="Symbol" w:cs="Symbol" w:eastAsia="Symbol" w:hAnsi="Symbol"/>
                <w:sz w:val="30"/>
                <w:szCs w:val="30"/>
                <w:color w:val="auto"/>
              </w:rPr>
              <w:t></w:t>
            </w:r>
            <w:r>
              <w:rPr>
                <w:rFonts w:ascii="Times New Roman" w:cs="Times New Roman" w:eastAsia="Times New Roman" w:hAnsi="Times New Roman"/>
                <w:sz w:val="30"/>
                <w:szCs w:val="30"/>
                <w:i w:val="1"/>
                <w:iCs w:val="1"/>
                <w:color w:val="auto"/>
              </w:rPr>
              <w:t xml:space="preserve"> r</w:t>
            </w:r>
            <w:r>
              <w:rPr>
                <w:rFonts w:ascii="Times New Roman" w:cs="Times New Roman" w:eastAsia="Times New Roman" w:hAnsi="Times New Roman"/>
                <w:sz w:val="30"/>
                <w:szCs w:val="30"/>
                <w:color w:val="auto"/>
              </w:rPr>
              <w:t>)</w:t>
            </w:r>
            <w:r>
              <w:rPr>
                <w:rFonts w:ascii="Times New Roman" w:cs="Times New Roman" w:eastAsia="Times New Roman" w:hAnsi="Times New Roman"/>
                <w:sz w:val="35"/>
                <w:szCs w:val="35"/>
                <w:i w:val="1"/>
                <w:iCs w:val="1"/>
                <w:color w:val="auto"/>
                <w:vertAlign w:val="superscript"/>
              </w:rPr>
              <w:t>n</w:t>
            </w:r>
          </w:p>
        </w:tc>
        <w:tc>
          <w:tcPr>
            <w:tcW w:w="280" w:type="dxa"/>
            <w:vAlign w:val="bottom"/>
            <w:vMerge w:val="continue"/>
          </w:tcPr>
          <w:p>
            <w:pPr>
              <w:spacing w:after="0"/>
              <w:rPr>
                <w:sz w:val="5"/>
                <w:szCs w:val="5"/>
                <w:color w:val="auto"/>
              </w:rPr>
            </w:pPr>
          </w:p>
        </w:tc>
        <w:tc>
          <w:tcPr>
            <w:tcW w:w="260" w:type="dxa"/>
            <w:vAlign w:val="bottom"/>
            <w:vMerge w:val="restart"/>
          </w:tcPr>
          <w:p>
            <w:pPr>
              <w:jc w:val="right"/>
              <w:spacing w:after="0"/>
              <w:rPr>
                <w:sz w:val="20"/>
                <w:szCs w:val="20"/>
                <w:color w:val="auto"/>
              </w:rPr>
            </w:pPr>
            <w:r>
              <w:rPr>
                <w:rFonts w:ascii="Times New Roman" w:cs="Times New Roman" w:eastAsia="Times New Roman" w:hAnsi="Times New Roman"/>
                <w:sz w:val="30"/>
                <w:szCs w:val="30"/>
                <w:color w:val="auto"/>
                <w:w w:val="87"/>
              </w:rPr>
              <w:t>(1</w:t>
            </w:r>
          </w:p>
        </w:tc>
        <w:tc>
          <w:tcPr>
            <w:tcW w:w="620" w:type="dxa"/>
            <w:vAlign w:val="bottom"/>
            <w:vMerge w:val="restart"/>
          </w:tcPr>
          <w:p>
            <w:pPr>
              <w:spacing w:after="0"/>
              <w:rPr>
                <w:sz w:val="20"/>
                <w:szCs w:val="20"/>
                <w:color w:val="auto"/>
              </w:rPr>
            </w:pPr>
            <w:r>
              <w:rPr>
                <w:rFonts w:ascii="Symbol" w:cs="Symbol" w:eastAsia="Symbol" w:hAnsi="Symbol"/>
                <w:sz w:val="30"/>
                <w:szCs w:val="30"/>
                <w:color w:val="auto"/>
              </w:rPr>
              <w:t></w:t>
            </w:r>
            <w:r>
              <w:rPr>
                <w:rFonts w:ascii="Times New Roman" w:cs="Times New Roman" w:eastAsia="Times New Roman" w:hAnsi="Times New Roman"/>
                <w:sz w:val="30"/>
                <w:szCs w:val="30"/>
                <w:i w:val="1"/>
                <w:iCs w:val="1"/>
                <w:color w:val="auto"/>
              </w:rPr>
              <w:t xml:space="preserve"> r</w:t>
            </w:r>
            <w:r>
              <w:rPr>
                <w:rFonts w:ascii="Times New Roman" w:cs="Times New Roman" w:eastAsia="Times New Roman" w:hAnsi="Times New Roman"/>
                <w:sz w:val="30"/>
                <w:szCs w:val="30"/>
                <w:color w:val="auto"/>
              </w:rPr>
              <w:t>)</w:t>
            </w:r>
            <w:r>
              <w:rPr>
                <w:rFonts w:ascii="Times New Roman" w:cs="Times New Roman" w:eastAsia="Times New Roman" w:hAnsi="Times New Roman"/>
                <w:sz w:val="35"/>
                <w:szCs w:val="35"/>
                <w:i w:val="1"/>
                <w:iCs w:val="1"/>
                <w:color w:val="auto"/>
                <w:vertAlign w:val="superscript"/>
              </w:rPr>
              <w:t>n</w:t>
            </w:r>
          </w:p>
        </w:tc>
        <w:tc>
          <w:tcPr>
            <w:tcW w:w="0" w:type="dxa"/>
            <w:vAlign w:val="bottom"/>
          </w:tcPr>
          <w:p>
            <w:pPr>
              <w:spacing w:after="0"/>
              <w:rPr>
                <w:sz w:val="1"/>
                <w:szCs w:val="1"/>
                <w:color w:val="auto"/>
              </w:rPr>
            </w:pPr>
          </w:p>
        </w:tc>
      </w:tr>
      <w:tr>
        <w:trPr>
          <w:trHeight w:val="426"/>
        </w:trPr>
        <w:tc>
          <w:tcPr>
            <w:tcW w:w="440" w:type="dxa"/>
            <w:vAlign w:val="bottom"/>
          </w:tcPr>
          <w:p>
            <w:pPr>
              <w:spacing w:after="0"/>
              <w:rPr>
                <w:sz w:val="24"/>
                <w:szCs w:val="24"/>
                <w:color w:val="auto"/>
              </w:rPr>
            </w:pPr>
          </w:p>
        </w:tc>
        <w:tc>
          <w:tcPr>
            <w:tcW w:w="860" w:type="dxa"/>
            <w:vAlign w:val="bottom"/>
            <w:gridSpan w:val="3"/>
          </w:tcPr>
          <w:p>
            <w:pPr>
              <w:jc w:val="center"/>
              <w:ind w:right="149"/>
              <w:spacing w:after="0"/>
              <w:rPr>
                <w:sz w:val="20"/>
                <w:szCs w:val="20"/>
                <w:color w:val="auto"/>
              </w:rPr>
            </w:pPr>
            <w:r>
              <w:rPr>
                <w:rFonts w:ascii="Times New Roman" w:cs="Times New Roman" w:eastAsia="Times New Roman" w:hAnsi="Times New Roman"/>
                <w:sz w:val="30"/>
                <w:szCs w:val="30"/>
                <w:color w:val="auto"/>
              </w:rPr>
              <w:t>1</w:t>
            </w:r>
            <w:r>
              <w:rPr>
                <w:rFonts w:ascii="Symbol" w:cs="Symbol" w:eastAsia="Symbol" w:hAnsi="Symbol"/>
                <w:sz w:val="30"/>
                <w:szCs w:val="30"/>
                <w:color w:val="auto"/>
              </w:rPr>
              <w:t></w:t>
            </w:r>
            <w:r>
              <w:rPr>
                <w:rFonts w:ascii="Times New Roman" w:cs="Times New Roman" w:eastAsia="Times New Roman" w:hAnsi="Times New Roman"/>
                <w:sz w:val="30"/>
                <w:szCs w:val="30"/>
                <w:color w:val="auto"/>
              </w:rPr>
              <w:t xml:space="preserve"> </w:t>
            </w:r>
            <w:r>
              <w:rPr>
                <w:rFonts w:ascii="Times New Roman" w:cs="Times New Roman" w:eastAsia="Times New Roman" w:hAnsi="Times New Roman"/>
                <w:sz w:val="30"/>
                <w:szCs w:val="30"/>
                <w:i w:val="1"/>
                <w:iCs w:val="1"/>
                <w:color w:val="auto"/>
              </w:rPr>
              <w:t>r</w:t>
            </w:r>
          </w:p>
        </w:tc>
        <w:tc>
          <w:tcPr>
            <w:tcW w:w="880" w:type="dxa"/>
            <w:vAlign w:val="bottom"/>
            <w:vMerge w:val="continue"/>
          </w:tcPr>
          <w:p>
            <w:pPr>
              <w:spacing w:after="0"/>
              <w:rPr>
                <w:sz w:val="24"/>
                <w:szCs w:val="24"/>
                <w:color w:val="auto"/>
              </w:rPr>
            </w:pPr>
          </w:p>
        </w:tc>
        <w:tc>
          <w:tcPr>
            <w:tcW w:w="740" w:type="dxa"/>
            <w:vAlign w:val="bottom"/>
          </w:tcPr>
          <w:p>
            <w:pPr>
              <w:spacing w:after="0"/>
              <w:rPr>
                <w:sz w:val="24"/>
                <w:szCs w:val="24"/>
                <w:color w:val="auto"/>
              </w:rPr>
            </w:pPr>
          </w:p>
        </w:tc>
        <w:tc>
          <w:tcPr>
            <w:tcW w:w="260" w:type="dxa"/>
            <w:vAlign w:val="bottom"/>
            <w:vMerge w:val="continue"/>
          </w:tcPr>
          <w:p>
            <w:pPr>
              <w:spacing w:after="0"/>
              <w:rPr>
                <w:sz w:val="24"/>
                <w:szCs w:val="24"/>
                <w:color w:val="auto"/>
              </w:rPr>
            </w:pPr>
          </w:p>
        </w:tc>
        <w:tc>
          <w:tcPr>
            <w:tcW w:w="640" w:type="dxa"/>
            <w:vAlign w:val="bottom"/>
            <w:vMerge w:val="continue"/>
          </w:tcPr>
          <w:p>
            <w:pPr>
              <w:spacing w:after="0"/>
              <w:rPr>
                <w:sz w:val="24"/>
                <w:szCs w:val="24"/>
                <w:color w:val="auto"/>
              </w:rPr>
            </w:pPr>
          </w:p>
        </w:tc>
        <w:tc>
          <w:tcPr>
            <w:tcW w:w="280" w:type="dxa"/>
            <w:vAlign w:val="bottom"/>
          </w:tcPr>
          <w:p>
            <w:pPr>
              <w:spacing w:after="0"/>
              <w:rPr>
                <w:sz w:val="24"/>
                <w:szCs w:val="24"/>
                <w:color w:val="auto"/>
              </w:rPr>
            </w:pPr>
          </w:p>
        </w:tc>
        <w:tc>
          <w:tcPr>
            <w:tcW w:w="260" w:type="dxa"/>
            <w:vAlign w:val="bottom"/>
            <w:vMerge w:val="continue"/>
          </w:tcPr>
          <w:p>
            <w:pPr>
              <w:spacing w:after="0"/>
              <w:rPr>
                <w:sz w:val="24"/>
                <w:szCs w:val="24"/>
                <w:color w:val="auto"/>
              </w:rPr>
            </w:pPr>
          </w:p>
        </w:tc>
        <w:tc>
          <w:tcPr>
            <w:tcW w:w="620" w:type="dxa"/>
            <w:vAlign w:val="bottom"/>
            <w:vMerge w:val="continue"/>
          </w:tcPr>
          <w:p>
            <w:pPr>
              <w:spacing w:after="0"/>
              <w:rPr>
                <w:sz w:val="24"/>
                <w:szCs w:val="24"/>
                <w:color w:val="auto"/>
              </w:rPr>
            </w:pPr>
          </w:p>
        </w:tc>
        <w:tc>
          <w:tcPr>
            <w:tcW w:w="0" w:type="dxa"/>
            <w:vAlign w:val="bottom"/>
          </w:tcPr>
          <w:p>
            <w:pPr>
              <w:spacing w:after="0"/>
              <w:rPr>
                <w:sz w:val="1"/>
                <w:szCs w:val="1"/>
                <w:color w:val="auto"/>
              </w:rPr>
            </w:pPr>
          </w:p>
        </w:tc>
      </w:tr>
    </w:tbl>
    <w:p>
      <w:pPr>
        <w:spacing w:after="0" w:line="113"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где Е</w:t>
      </w:r>
      <w:r>
        <w:rPr>
          <w:rFonts w:ascii="Times New Roman" w:cs="Times New Roman" w:eastAsia="Times New Roman" w:hAnsi="Times New Roman"/>
          <w:sz w:val="36"/>
          <w:szCs w:val="36"/>
          <w:color w:val="auto"/>
          <w:vertAlign w:val="subscript"/>
        </w:rPr>
        <w:t>1</w:t>
      </w:r>
      <w:r>
        <w:rPr>
          <w:rFonts w:ascii="Times New Roman" w:cs="Times New Roman" w:eastAsia="Times New Roman" w:hAnsi="Times New Roman"/>
          <w:sz w:val="28"/>
          <w:szCs w:val="28"/>
          <w:color w:val="auto"/>
        </w:rPr>
        <w:t>, Е</w:t>
      </w:r>
      <w:r>
        <w:rPr>
          <w:rFonts w:ascii="Times New Roman" w:cs="Times New Roman" w:eastAsia="Times New Roman" w:hAnsi="Times New Roman"/>
          <w:sz w:val="36"/>
          <w:szCs w:val="36"/>
          <w:color w:val="auto"/>
          <w:vertAlign w:val="subscript"/>
        </w:rPr>
        <w:t>2</w:t>
      </w:r>
      <w:r>
        <w:rPr>
          <w:rFonts w:ascii="Times New Roman" w:cs="Times New Roman" w:eastAsia="Times New Roman" w:hAnsi="Times New Roman"/>
          <w:sz w:val="28"/>
          <w:szCs w:val="28"/>
          <w:color w:val="auto"/>
        </w:rPr>
        <w:t>.... Е</w:t>
      </w:r>
      <w:r>
        <w:rPr>
          <w:rFonts w:ascii="Times New Roman" w:cs="Times New Roman" w:eastAsia="Times New Roman" w:hAnsi="Times New Roman"/>
          <w:sz w:val="36"/>
          <w:szCs w:val="36"/>
          <w:color w:val="auto"/>
          <w:vertAlign w:val="subscript"/>
        </w:rPr>
        <w:t>n</w:t>
      </w:r>
      <w:r>
        <w:rPr>
          <w:rFonts w:ascii="Times New Roman" w:cs="Times New Roman" w:eastAsia="Times New Roman" w:hAnsi="Times New Roman"/>
          <w:sz w:val="28"/>
          <w:szCs w:val="28"/>
          <w:color w:val="auto"/>
        </w:rPr>
        <w:t xml:space="preserve">  </w:t>
      </w:r>
      <w:r>
        <w:rPr>
          <w:rFonts w:ascii="Symbol" w:cs="Symbol" w:eastAsia="Symbol" w:hAnsi="Symbol"/>
          <w:sz w:val="28"/>
          <w:szCs w:val="28"/>
          <w:color w:val="auto"/>
        </w:rPr>
        <w:t></w:t>
      </w:r>
      <w:r>
        <w:rPr>
          <w:rFonts w:ascii="Times New Roman" w:cs="Times New Roman" w:eastAsia="Times New Roman" w:hAnsi="Times New Roman"/>
          <w:sz w:val="28"/>
          <w:szCs w:val="28"/>
          <w:color w:val="auto"/>
        </w:rPr>
        <w:t xml:space="preserve"> чистый доход, производимый всей системой на первом,</w:t>
      </w:r>
    </w:p>
    <w:p>
      <w:pPr>
        <w:spacing w:after="0" w:line="60" w:lineRule="exact"/>
        <w:rPr>
          <w:sz w:val="20"/>
          <w:szCs w:val="20"/>
          <w:color w:val="auto"/>
        </w:rPr>
      </w:pPr>
    </w:p>
    <w:p>
      <w:pPr>
        <w:ind w:left="260" w:right="100"/>
        <w:spacing w:after="0" w:line="255" w:lineRule="auto"/>
        <w:rPr>
          <w:sz w:val="20"/>
          <w:szCs w:val="20"/>
          <w:color w:val="auto"/>
        </w:rPr>
      </w:pPr>
      <w:r>
        <w:rPr>
          <w:rFonts w:ascii="Times New Roman" w:cs="Times New Roman" w:eastAsia="Times New Roman" w:hAnsi="Times New Roman"/>
          <w:sz w:val="28"/>
          <w:szCs w:val="28"/>
          <w:color w:val="auto"/>
        </w:rPr>
        <w:t xml:space="preserve">втором,..., n -м году эксплуатации машинного комплекса; r </w:t>
      </w:r>
      <w:r>
        <w:rPr>
          <w:rFonts w:ascii="Symbol" w:cs="Symbol" w:eastAsia="Symbol" w:hAnsi="Symbol"/>
          <w:sz w:val="28"/>
          <w:szCs w:val="28"/>
          <w:color w:val="auto"/>
        </w:rPr>
        <w:t></w:t>
      </w:r>
      <w:r>
        <w:rPr>
          <w:rFonts w:ascii="Times New Roman" w:cs="Times New Roman" w:eastAsia="Times New Roman" w:hAnsi="Times New Roman"/>
          <w:sz w:val="28"/>
          <w:szCs w:val="28"/>
          <w:color w:val="auto"/>
        </w:rPr>
        <w:t xml:space="preserve"> реальная ставка дисконта; n </w:t>
      </w:r>
      <w:r>
        <w:rPr>
          <w:rFonts w:ascii="Symbol" w:cs="Symbol" w:eastAsia="Symbol" w:hAnsi="Symbol"/>
          <w:sz w:val="28"/>
          <w:szCs w:val="28"/>
          <w:color w:val="auto"/>
        </w:rPr>
        <w:t></w:t>
      </w:r>
      <w:r>
        <w:rPr>
          <w:rFonts w:ascii="Times New Roman" w:cs="Times New Roman" w:eastAsia="Times New Roman" w:hAnsi="Times New Roman"/>
          <w:sz w:val="28"/>
          <w:szCs w:val="28"/>
          <w:color w:val="auto"/>
        </w:rPr>
        <w:t xml:space="preserve"> срок службы машинного комплекса; S</w:t>
      </w:r>
      <w:r>
        <w:rPr>
          <w:rFonts w:ascii="Times New Roman" w:cs="Times New Roman" w:eastAsia="Times New Roman" w:hAnsi="Times New Roman"/>
          <w:sz w:val="28"/>
          <w:szCs w:val="28"/>
          <w:color w:val="auto"/>
          <w:vertAlign w:val="subscript"/>
        </w:rPr>
        <w:t>N</w:t>
      </w:r>
      <w:r>
        <w:rPr>
          <w:rFonts w:ascii="Times New Roman" w:cs="Times New Roman" w:eastAsia="Times New Roman" w:hAnsi="Times New Roman"/>
          <w:sz w:val="28"/>
          <w:szCs w:val="28"/>
          <w:color w:val="auto"/>
        </w:rPr>
        <w:t xml:space="preserve"> </w:t>
      </w:r>
      <w:r>
        <w:rPr>
          <w:rFonts w:ascii="Symbol" w:cs="Symbol" w:eastAsia="Symbol" w:hAnsi="Symbol"/>
          <w:sz w:val="28"/>
          <w:szCs w:val="28"/>
          <w:color w:val="auto"/>
        </w:rPr>
        <w:t></w:t>
      </w:r>
      <w:r>
        <w:rPr>
          <w:rFonts w:ascii="Times New Roman" w:cs="Times New Roman" w:eastAsia="Times New Roman" w:hAnsi="Times New Roman"/>
          <w:sz w:val="28"/>
          <w:szCs w:val="28"/>
          <w:color w:val="auto"/>
        </w:rPr>
        <w:t xml:space="preserve"> остаточная стоимость</w:t>
      </w:r>
    </w:p>
    <w:p>
      <w:pPr>
        <w:sectPr>
          <w:pgSz w:w="11900" w:h="16840" w:orient="portrait"/>
          <w:cols w:equalWidth="0" w:num="1">
            <w:col w:w="9720"/>
          </w:cols>
          <w:pgMar w:left="1440" w:top="1112" w:right="744" w:bottom="16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ind w:left="9380"/>
        <w:spacing w:after="0"/>
        <w:rPr>
          <w:sz w:val="20"/>
          <w:szCs w:val="20"/>
          <w:color w:val="auto"/>
        </w:rPr>
      </w:pPr>
      <w:r>
        <w:rPr>
          <w:rFonts w:ascii="Times New Roman" w:cs="Times New Roman" w:eastAsia="Times New Roman" w:hAnsi="Times New Roman"/>
          <w:sz w:val="24"/>
          <w:szCs w:val="24"/>
          <w:color w:val="auto"/>
        </w:rPr>
        <w:t>35</w:t>
      </w:r>
    </w:p>
    <w:p>
      <w:pPr>
        <w:sectPr>
          <w:pgSz w:w="11900" w:h="16840" w:orient="portrait"/>
          <w:cols w:equalWidth="0" w:num="1">
            <w:col w:w="9720"/>
          </w:cols>
          <w:pgMar w:left="1440" w:top="1112" w:right="744" w:bottom="163" w:gutter="0" w:footer="0" w:header="0"/>
          <w:type w:val="continuous"/>
        </w:sectPr>
      </w:pPr>
    </w:p>
    <w:p>
      <w:pPr>
        <w:jc w:val="both"/>
        <w:ind w:left="260" w:right="100"/>
        <w:spacing w:after="0"/>
        <w:rPr>
          <w:sz w:val="20"/>
          <w:szCs w:val="20"/>
          <w:color w:val="auto"/>
        </w:rPr>
      </w:pPr>
      <w:r>
        <w:rPr>
          <w:rFonts w:ascii="Times New Roman" w:cs="Times New Roman" w:eastAsia="Times New Roman" w:hAnsi="Times New Roman"/>
          <w:sz w:val="28"/>
          <w:szCs w:val="28"/>
          <w:color w:val="auto"/>
        </w:rPr>
        <w:t>имущества системы к концу последнего n-го года службы машинного комплекса.</w:t>
      </w:r>
    </w:p>
    <w:p>
      <w:pPr>
        <w:ind w:left="980"/>
        <w:spacing w:after="0"/>
        <w:rPr>
          <w:sz w:val="20"/>
          <w:szCs w:val="20"/>
          <w:color w:val="auto"/>
        </w:rPr>
      </w:pPr>
      <w:r>
        <w:rPr>
          <w:rFonts w:ascii="Times New Roman" w:cs="Times New Roman" w:eastAsia="Times New Roman" w:hAnsi="Times New Roman"/>
          <w:sz w:val="28"/>
          <w:szCs w:val="28"/>
          <w:color w:val="auto"/>
        </w:rPr>
        <w:t>Если чистый доход принять постоянным, то расчет ведут по формуле:</w:t>
      </w:r>
    </w:p>
    <w:p>
      <w:pPr>
        <w:spacing w:after="0" w:line="320" w:lineRule="exact"/>
        <w:rPr>
          <w:sz w:val="20"/>
          <w:szCs w:val="20"/>
          <w:color w:val="auto"/>
        </w:rPr>
      </w:pPr>
    </w:p>
    <w:tbl>
      <w:tblPr>
        <w:tblLayout w:type="fixed"/>
        <w:tblInd w:w="3120" w:type="dxa"/>
        <w:tblCellMar>
          <w:top w:w="0" w:type="dxa"/>
          <w:left w:w="0" w:type="dxa"/>
          <w:bottom w:w="0" w:type="dxa"/>
          <w:right w:w="0" w:type="dxa"/>
        </w:tblCellMar>
      </w:tblPr>
      <w:tr>
        <w:trPr>
          <w:trHeight w:val="448"/>
        </w:trPr>
        <w:tc>
          <w:tcPr>
            <w:tcW w:w="500" w:type="dxa"/>
            <w:vAlign w:val="bottom"/>
          </w:tcPr>
          <w:p>
            <w:pPr>
              <w:spacing w:after="0"/>
              <w:rPr>
                <w:sz w:val="24"/>
                <w:szCs w:val="24"/>
                <w:color w:val="auto"/>
              </w:rPr>
            </w:pPr>
          </w:p>
        </w:tc>
        <w:tc>
          <w:tcPr>
            <w:tcW w:w="580" w:type="dxa"/>
            <w:vAlign w:val="bottom"/>
            <w:gridSpan w:val="2"/>
          </w:tcPr>
          <w:p>
            <w:pPr>
              <w:jc w:val="right"/>
              <w:ind w:right="111"/>
              <w:spacing w:after="0"/>
              <w:rPr>
                <w:sz w:val="20"/>
                <w:szCs w:val="20"/>
                <w:color w:val="auto"/>
              </w:rPr>
            </w:pPr>
            <w:r>
              <w:rPr>
                <w:rFonts w:ascii="Times New Roman" w:cs="Times New Roman" w:eastAsia="Times New Roman" w:hAnsi="Times New Roman"/>
                <w:sz w:val="30"/>
                <w:szCs w:val="30"/>
                <w:i w:val="1"/>
                <w:iCs w:val="1"/>
                <w:color w:val="auto"/>
              </w:rPr>
              <w:t xml:space="preserve">E </w:t>
            </w:r>
            <w:r>
              <w:rPr>
                <w:rFonts w:ascii="Symbol" w:cs="Symbol" w:eastAsia="Symbol" w:hAnsi="Symbol"/>
                <w:sz w:val="30"/>
                <w:szCs w:val="30"/>
                <w:color w:val="auto"/>
              </w:rPr>
              <w:t></w:t>
            </w:r>
          </w:p>
        </w:tc>
        <w:tc>
          <w:tcPr>
            <w:tcW w:w="220" w:type="dxa"/>
            <w:vAlign w:val="bottom"/>
          </w:tcPr>
          <w:p>
            <w:pPr>
              <w:spacing w:after="0"/>
              <w:rPr>
                <w:sz w:val="24"/>
                <w:szCs w:val="24"/>
                <w:color w:val="auto"/>
              </w:rPr>
            </w:pPr>
          </w:p>
        </w:tc>
        <w:tc>
          <w:tcPr>
            <w:tcW w:w="760" w:type="dxa"/>
            <w:vAlign w:val="bottom"/>
          </w:tcPr>
          <w:p>
            <w:pPr>
              <w:jc w:val="right"/>
              <w:ind w:right="68"/>
              <w:spacing w:after="0"/>
              <w:rPr>
                <w:sz w:val="20"/>
                <w:szCs w:val="20"/>
                <w:color w:val="auto"/>
              </w:rPr>
            </w:pPr>
            <w:r>
              <w:rPr>
                <w:rFonts w:ascii="Times New Roman" w:cs="Times New Roman" w:eastAsia="Times New Roman" w:hAnsi="Times New Roman"/>
                <w:sz w:val="30"/>
                <w:szCs w:val="30"/>
                <w:color w:val="auto"/>
              </w:rPr>
              <w:t>1</w:t>
            </w:r>
          </w:p>
        </w:tc>
        <w:tc>
          <w:tcPr>
            <w:tcW w:w="160" w:type="dxa"/>
            <w:vAlign w:val="bottom"/>
          </w:tcPr>
          <w:p>
            <w:pPr>
              <w:spacing w:after="0"/>
              <w:rPr>
                <w:sz w:val="24"/>
                <w:szCs w:val="24"/>
                <w:color w:val="auto"/>
              </w:rPr>
            </w:pPr>
          </w:p>
        </w:tc>
        <w:tc>
          <w:tcPr>
            <w:tcW w:w="180" w:type="dxa"/>
            <w:vAlign w:val="bottom"/>
          </w:tcPr>
          <w:p>
            <w:pPr>
              <w:jc w:val="right"/>
              <w:spacing w:after="0"/>
              <w:rPr>
                <w:sz w:val="20"/>
                <w:szCs w:val="20"/>
                <w:color w:val="auto"/>
              </w:rPr>
            </w:pPr>
            <w:r>
              <w:rPr>
                <w:rFonts w:ascii="Symbol" w:cs="Symbol" w:eastAsia="Symbol" w:hAnsi="Symbol"/>
                <w:sz w:val="30"/>
                <w:szCs w:val="30"/>
                <w:color w:val="auto"/>
              </w:rPr>
              <w:t></w:t>
            </w:r>
          </w:p>
        </w:tc>
        <w:tc>
          <w:tcPr>
            <w:tcW w:w="240" w:type="dxa"/>
            <w:vAlign w:val="bottom"/>
          </w:tcPr>
          <w:p>
            <w:pPr>
              <w:spacing w:after="0"/>
              <w:rPr>
                <w:sz w:val="24"/>
                <w:szCs w:val="24"/>
                <w:color w:val="auto"/>
              </w:rPr>
            </w:pPr>
          </w:p>
        </w:tc>
        <w:tc>
          <w:tcPr>
            <w:tcW w:w="740" w:type="dxa"/>
            <w:vAlign w:val="bottom"/>
          </w:tcPr>
          <w:p>
            <w:pPr>
              <w:ind w:left="300"/>
              <w:spacing w:after="0"/>
              <w:rPr>
                <w:sz w:val="20"/>
                <w:szCs w:val="20"/>
                <w:color w:val="auto"/>
              </w:rPr>
            </w:pPr>
            <w:r>
              <w:rPr>
                <w:rFonts w:ascii="Times New Roman" w:cs="Times New Roman" w:eastAsia="Times New Roman" w:hAnsi="Times New Roman"/>
                <w:sz w:val="30"/>
                <w:szCs w:val="30"/>
                <w:i w:val="1"/>
                <w:iCs w:val="1"/>
                <w:color w:val="auto"/>
              </w:rPr>
              <w:t>S</w:t>
            </w:r>
            <w:r>
              <w:rPr>
                <w:rFonts w:ascii="Times New Roman" w:cs="Times New Roman" w:eastAsia="Times New Roman" w:hAnsi="Times New Roman"/>
                <w:sz w:val="35"/>
                <w:szCs w:val="35"/>
                <w:i w:val="1"/>
                <w:iCs w:val="1"/>
                <w:color w:val="auto"/>
                <w:vertAlign w:val="subscript"/>
              </w:rPr>
              <w:t>n</w:t>
            </w:r>
          </w:p>
        </w:tc>
        <w:tc>
          <w:tcPr>
            <w:tcW w:w="1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53"/>
        </w:trPr>
        <w:tc>
          <w:tcPr>
            <w:tcW w:w="500" w:type="dxa"/>
            <w:vAlign w:val="bottom"/>
            <w:vMerge w:val="restart"/>
          </w:tcPr>
          <w:p>
            <w:pPr>
              <w:spacing w:after="0" w:line="259" w:lineRule="exact"/>
              <w:rPr>
                <w:sz w:val="20"/>
                <w:szCs w:val="20"/>
                <w:color w:val="auto"/>
              </w:rPr>
            </w:pPr>
            <w:r>
              <w:rPr>
                <w:rFonts w:ascii="Times New Roman" w:cs="Times New Roman" w:eastAsia="Times New Roman" w:hAnsi="Times New Roman"/>
                <w:sz w:val="28"/>
                <w:szCs w:val="28"/>
                <w:i w:val="1"/>
                <w:iCs w:val="1"/>
                <w:color w:val="auto"/>
              </w:rPr>
              <w:t xml:space="preserve">S </w:t>
            </w:r>
            <w:r>
              <w:rPr>
                <w:rFonts w:ascii="Symbol" w:cs="Symbol" w:eastAsia="Symbol" w:hAnsi="Symbol"/>
                <w:sz w:val="28"/>
                <w:szCs w:val="28"/>
                <w:color w:val="auto"/>
              </w:rPr>
              <w:t></w:t>
            </w:r>
          </w:p>
        </w:tc>
        <w:tc>
          <w:tcPr>
            <w:tcW w:w="240" w:type="dxa"/>
            <w:vAlign w:val="bottom"/>
            <w:tcBorders>
              <w:bottom w:val="single" w:sz="8" w:color="auto"/>
            </w:tcBorders>
          </w:tcPr>
          <w:p>
            <w:pPr>
              <w:spacing w:after="0"/>
              <w:rPr>
                <w:sz w:val="4"/>
                <w:szCs w:val="4"/>
                <w:color w:val="auto"/>
              </w:rPr>
            </w:pPr>
          </w:p>
        </w:tc>
        <w:tc>
          <w:tcPr>
            <w:tcW w:w="340" w:type="dxa"/>
            <w:vAlign w:val="bottom"/>
            <w:vMerge w:val="restart"/>
          </w:tcPr>
          <w:p>
            <w:pPr>
              <w:ind w:left="60"/>
              <w:spacing w:after="0" w:line="114" w:lineRule="exact"/>
              <w:rPr>
                <w:sz w:val="20"/>
                <w:szCs w:val="20"/>
                <w:color w:val="auto"/>
              </w:rPr>
            </w:pPr>
            <w:r>
              <w:rPr>
                <w:rFonts w:ascii="Symbol" w:cs="Symbol" w:eastAsia="Symbol" w:hAnsi="Symbol"/>
                <w:sz w:val="12"/>
                <w:szCs w:val="12"/>
                <w:color w:val="auto"/>
              </w:rPr>
              <w:t></w:t>
            </w:r>
          </w:p>
        </w:tc>
        <w:tc>
          <w:tcPr>
            <w:tcW w:w="220" w:type="dxa"/>
            <w:vAlign w:val="bottom"/>
            <w:vMerge w:val="restart"/>
          </w:tcPr>
          <w:p>
            <w:pPr>
              <w:spacing w:after="0" w:line="259" w:lineRule="exact"/>
              <w:rPr>
                <w:sz w:val="20"/>
                <w:szCs w:val="20"/>
                <w:color w:val="auto"/>
              </w:rPr>
            </w:pPr>
            <w:r>
              <w:rPr>
                <w:rFonts w:ascii="Symbol" w:cs="Symbol" w:eastAsia="Symbol" w:hAnsi="Symbol"/>
                <w:sz w:val="28"/>
                <w:szCs w:val="28"/>
                <w:color w:val="auto"/>
              </w:rPr>
              <w:t></w:t>
            </w:r>
          </w:p>
        </w:tc>
        <w:tc>
          <w:tcPr>
            <w:tcW w:w="760" w:type="dxa"/>
            <w:vAlign w:val="bottom"/>
            <w:tcBorders>
              <w:bottom w:val="single" w:sz="8" w:color="auto"/>
            </w:tcBorders>
          </w:tcPr>
          <w:p>
            <w:pPr>
              <w:spacing w:after="0"/>
              <w:rPr>
                <w:sz w:val="4"/>
                <w:szCs w:val="4"/>
                <w:color w:val="auto"/>
              </w:rPr>
            </w:pPr>
          </w:p>
        </w:tc>
        <w:tc>
          <w:tcPr>
            <w:tcW w:w="160" w:type="dxa"/>
            <w:vAlign w:val="bottom"/>
            <w:tcBorders>
              <w:bottom w:val="single" w:sz="8" w:color="auto"/>
            </w:tcBorders>
          </w:tcPr>
          <w:p>
            <w:pPr>
              <w:spacing w:after="0"/>
              <w:rPr>
                <w:sz w:val="4"/>
                <w:szCs w:val="4"/>
                <w:color w:val="auto"/>
              </w:rPr>
            </w:pPr>
          </w:p>
        </w:tc>
        <w:tc>
          <w:tcPr>
            <w:tcW w:w="180" w:type="dxa"/>
            <w:vAlign w:val="bottom"/>
            <w:vMerge w:val="restart"/>
          </w:tcPr>
          <w:p>
            <w:pPr>
              <w:jc w:val="right"/>
              <w:spacing w:after="0" w:line="114" w:lineRule="exact"/>
              <w:rPr>
                <w:sz w:val="20"/>
                <w:szCs w:val="20"/>
                <w:color w:val="auto"/>
              </w:rPr>
            </w:pPr>
            <w:r>
              <w:rPr>
                <w:rFonts w:ascii="Symbol" w:cs="Symbol" w:eastAsia="Symbol" w:hAnsi="Symbol"/>
                <w:sz w:val="12"/>
                <w:szCs w:val="12"/>
                <w:color w:val="auto"/>
              </w:rPr>
              <w:t></w:t>
            </w:r>
          </w:p>
        </w:tc>
        <w:tc>
          <w:tcPr>
            <w:tcW w:w="240" w:type="dxa"/>
            <w:vAlign w:val="bottom"/>
            <w:vMerge w:val="restart"/>
          </w:tcPr>
          <w:p>
            <w:pPr>
              <w:ind w:left="20"/>
              <w:spacing w:after="0" w:line="259" w:lineRule="exact"/>
              <w:rPr>
                <w:sz w:val="20"/>
                <w:szCs w:val="20"/>
                <w:color w:val="auto"/>
              </w:rPr>
            </w:pPr>
            <w:r>
              <w:rPr>
                <w:rFonts w:ascii="Symbol" w:cs="Symbol" w:eastAsia="Symbol" w:hAnsi="Symbol"/>
                <w:sz w:val="28"/>
                <w:szCs w:val="28"/>
                <w:color w:val="auto"/>
              </w:rPr>
              <w:t></w:t>
            </w:r>
          </w:p>
        </w:tc>
        <w:tc>
          <w:tcPr>
            <w:tcW w:w="740" w:type="dxa"/>
            <w:vAlign w:val="bottom"/>
            <w:tcBorders>
              <w:bottom w:val="single" w:sz="8" w:color="auto"/>
            </w:tcBorders>
          </w:tcPr>
          <w:p>
            <w:pPr>
              <w:spacing w:after="0"/>
              <w:rPr>
                <w:sz w:val="4"/>
                <w:szCs w:val="4"/>
                <w:color w:val="auto"/>
              </w:rPr>
            </w:pPr>
          </w:p>
        </w:tc>
        <w:tc>
          <w:tcPr>
            <w:tcW w:w="180" w:type="dxa"/>
            <w:vAlign w:val="bottom"/>
            <w:tcBorders>
              <w:bottom w:val="single" w:sz="8" w:color="auto"/>
            </w:tcBorders>
          </w:tcPr>
          <w:p>
            <w:pPr>
              <w:spacing w:after="0"/>
              <w:rPr>
                <w:sz w:val="4"/>
                <w:szCs w:val="4"/>
                <w:color w:val="auto"/>
              </w:rPr>
            </w:pPr>
          </w:p>
        </w:tc>
        <w:tc>
          <w:tcPr>
            <w:tcW w:w="120" w:type="dxa"/>
            <w:vAlign w:val="bottom"/>
          </w:tcPr>
          <w:p>
            <w:pPr>
              <w:spacing w:after="0"/>
              <w:rPr>
                <w:sz w:val="4"/>
                <w:szCs w:val="4"/>
                <w:color w:val="auto"/>
              </w:rPr>
            </w:pPr>
          </w:p>
        </w:tc>
        <w:tc>
          <w:tcPr>
            <w:tcW w:w="0" w:type="dxa"/>
            <w:vAlign w:val="bottom"/>
          </w:tcPr>
          <w:p>
            <w:pPr>
              <w:spacing w:after="0"/>
              <w:rPr>
                <w:sz w:val="1"/>
                <w:szCs w:val="1"/>
                <w:color w:val="auto"/>
              </w:rPr>
            </w:pPr>
          </w:p>
        </w:tc>
      </w:tr>
      <w:tr>
        <w:trPr>
          <w:trHeight w:val="41"/>
        </w:trPr>
        <w:tc>
          <w:tcPr>
            <w:tcW w:w="500" w:type="dxa"/>
            <w:vAlign w:val="bottom"/>
            <w:vMerge w:val="continue"/>
          </w:tcPr>
          <w:p>
            <w:pPr>
              <w:spacing w:after="0"/>
              <w:rPr>
                <w:sz w:val="3"/>
                <w:szCs w:val="3"/>
                <w:color w:val="auto"/>
              </w:rPr>
            </w:pPr>
          </w:p>
        </w:tc>
        <w:tc>
          <w:tcPr>
            <w:tcW w:w="240" w:type="dxa"/>
            <w:vAlign w:val="bottom"/>
          </w:tcPr>
          <w:p>
            <w:pPr>
              <w:spacing w:after="0"/>
              <w:rPr>
                <w:sz w:val="3"/>
                <w:szCs w:val="3"/>
                <w:color w:val="auto"/>
              </w:rPr>
            </w:pPr>
          </w:p>
        </w:tc>
        <w:tc>
          <w:tcPr>
            <w:tcW w:w="340" w:type="dxa"/>
            <w:vAlign w:val="bottom"/>
            <w:vMerge w:val="continue"/>
          </w:tcPr>
          <w:p>
            <w:pPr>
              <w:spacing w:after="0"/>
              <w:rPr>
                <w:sz w:val="3"/>
                <w:szCs w:val="3"/>
                <w:color w:val="auto"/>
              </w:rPr>
            </w:pPr>
          </w:p>
        </w:tc>
        <w:tc>
          <w:tcPr>
            <w:tcW w:w="220" w:type="dxa"/>
            <w:vAlign w:val="bottom"/>
            <w:vMerge w:val="continue"/>
          </w:tcPr>
          <w:p>
            <w:pPr>
              <w:spacing w:after="0"/>
              <w:rPr>
                <w:sz w:val="3"/>
                <w:szCs w:val="3"/>
                <w:color w:val="auto"/>
              </w:rPr>
            </w:pPr>
          </w:p>
        </w:tc>
        <w:tc>
          <w:tcPr>
            <w:tcW w:w="760" w:type="dxa"/>
            <w:vAlign w:val="bottom"/>
          </w:tcPr>
          <w:p>
            <w:pPr>
              <w:spacing w:after="0"/>
              <w:rPr>
                <w:sz w:val="3"/>
                <w:szCs w:val="3"/>
                <w:color w:val="auto"/>
              </w:rPr>
            </w:pPr>
          </w:p>
        </w:tc>
        <w:tc>
          <w:tcPr>
            <w:tcW w:w="160" w:type="dxa"/>
            <w:vAlign w:val="bottom"/>
          </w:tcPr>
          <w:p>
            <w:pPr>
              <w:spacing w:after="0"/>
              <w:rPr>
                <w:sz w:val="3"/>
                <w:szCs w:val="3"/>
                <w:color w:val="auto"/>
              </w:rPr>
            </w:pPr>
          </w:p>
        </w:tc>
        <w:tc>
          <w:tcPr>
            <w:tcW w:w="180" w:type="dxa"/>
            <w:vAlign w:val="bottom"/>
            <w:vMerge w:val="continue"/>
          </w:tcPr>
          <w:p>
            <w:pPr>
              <w:spacing w:after="0"/>
              <w:rPr>
                <w:sz w:val="3"/>
                <w:szCs w:val="3"/>
                <w:color w:val="auto"/>
              </w:rPr>
            </w:pPr>
          </w:p>
        </w:tc>
        <w:tc>
          <w:tcPr>
            <w:tcW w:w="240" w:type="dxa"/>
            <w:vAlign w:val="bottom"/>
            <w:vMerge w:val="continue"/>
          </w:tcPr>
          <w:p>
            <w:pPr>
              <w:spacing w:after="0"/>
              <w:rPr>
                <w:sz w:val="3"/>
                <w:szCs w:val="3"/>
                <w:color w:val="auto"/>
              </w:rPr>
            </w:pPr>
          </w:p>
        </w:tc>
        <w:tc>
          <w:tcPr>
            <w:tcW w:w="740" w:type="dxa"/>
            <w:vAlign w:val="bottom"/>
          </w:tcPr>
          <w:p>
            <w:pPr>
              <w:spacing w:after="0"/>
              <w:rPr>
                <w:sz w:val="3"/>
                <w:szCs w:val="3"/>
                <w:color w:val="auto"/>
              </w:rPr>
            </w:pPr>
          </w:p>
        </w:tc>
        <w:tc>
          <w:tcPr>
            <w:tcW w:w="300" w:type="dxa"/>
            <w:vAlign w:val="bottom"/>
            <w:gridSpan w:val="2"/>
            <w:vMerge w:val="restart"/>
          </w:tcPr>
          <w:p>
            <w:pPr>
              <w:ind w:left="20"/>
              <w:spacing w:after="0" w:line="187" w:lineRule="exact"/>
              <w:rPr>
                <w:sz w:val="20"/>
                <w:szCs w:val="20"/>
                <w:color w:val="auto"/>
              </w:rPr>
            </w:pPr>
            <w:r>
              <w:rPr>
                <w:rFonts w:ascii="Times New Roman" w:cs="Times New Roman" w:eastAsia="Times New Roman" w:hAnsi="Times New Roman"/>
                <w:sz w:val="14"/>
                <w:szCs w:val="14"/>
                <w:i w:val="1"/>
                <w:iCs w:val="1"/>
                <w:color w:val="auto"/>
              </w:rPr>
              <w:t xml:space="preserve">n  </w:t>
            </w:r>
            <w:r>
              <w:rPr>
                <w:rFonts w:ascii="Times New Roman" w:cs="Times New Roman" w:eastAsia="Times New Roman" w:hAnsi="Times New Roman"/>
                <w:sz w:val="21"/>
                <w:szCs w:val="21"/>
                <w:color w:val="auto"/>
              </w:rPr>
              <w:t>,</w:t>
            </w:r>
          </w:p>
        </w:tc>
        <w:tc>
          <w:tcPr>
            <w:tcW w:w="0" w:type="dxa"/>
            <w:vAlign w:val="bottom"/>
          </w:tcPr>
          <w:p>
            <w:pPr>
              <w:spacing w:after="0"/>
              <w:rPr>
                <w:sz w:val="1"/>
                <w:szCs w:val="1"/>
                <w:color w:val="auto"/>
              </w:rPr>
            </w:pPr>
          </w:p>
        </w:tc>
      </w:tr>
      <w:tr>
        <w:trPr>
          <w:trHeight w:val="145"/>
        </w:trPr>
        <w:tc>
          <w:tcPr>
            <w:tcW w:w="500" w:type="dxa"/>
            <w:vAlign w:val="bottom"/>
            <w:vMerge w:val="continue"/>
          </w:tcPr>
          <w:p>
            <w:pPr>
              <w:spacing w:after="0"/>
              <w:rPr>
                <w:sz w:val="12"/>
                <w:szCs w:val="12"/>
                <w:color w:val="auto"/>
              </w:rPr>
            </w:pPr>
          </w:p>
        </w:tc>
        <w:tc>
          <w:tcPr>
            <w:tcW w:w="240" w:type="dxa"/>
            <w:vAlign w:val="bottom"/>
          </w:tcPr>
          <w:p>
            <w:pPr>
              <w:spacing w:after="0"/>
              <w:rPr>
                <w:sz w:val="12"/>
                <w:szCs w:val="12"/>
                <w:color w:val="auto"/>
              </w:rPr>
            </w:pPr>
          </w:p>
        </w:tc>
        <w:tc>
          <w:tcPr>
            <w:tcW w:w="340" w:type="dxa"/>
            <w:vAlign w:val="bottom"/>
          </w:tcPr>
          <w:p>
            <w:pPr>
              <w:ind w:left="60"/>
              <w:spacing w:after="0" w:line="145" w:lineRule="exact"/>
              <w:rPr>
                <w:sz w:val="20"/>
                <w:szCs w:val="20"/>
                <w:color w:val="auto"/>
              </w:rPr>
            </w:pPr>
            <w:r>
              <w:rPr>
                <w:rFonts w:ascii="Symbol" w:cs="Symbol" w:eastAsia="Symbol" w:hAnsi="Symbol"/>
                <w:sz w:val="8"/>
                <w:szCs w:val="8"/>
                <w:color w:val="auto"/>
              </w:rPr>
              <w:t></w:t>
            </w:r>
            <w:r>
              <w:rPr>
                <w:rFonts w:ascii="Times New Roman" w:cs="Times New Roman" w:eastAsia="Times New Roman" w:hAnsi="Times New Roman"/>
                <w:sz w:val="15"/>
                <w:szCs w:val="15"/>
                <w:color w:val="auto"/>
                <w:vertAlign w:val="superscript"/>
              </w:rPr>
              <w:t>1</w:t>
            </w:r>
          </w:p>
        </w:tc>
        <w:tc>
          <w:tcPr>
            <w:tcW w:w="220" w:type="dxa"/>
            <w:vAlign w:val="bottom"/>
            <w:vMerge w:val="continue"/>
          </w:tcPr>
          <w:p>
            <w:pPr>
              <w:spacing w:after="0"/>
              <w:rPr>
                <w:sz w:val="12"/>
                <w:szCs w:val="12"/>
                <w:color w:val="auto"/>
              </w:rPr>
            </w:pPr>
          </w:p>
        </w:tc>
        <w:tc>
          <w:tcPr>
            <w:tcW w:w="760" w:type="dxa"/>
            <w:vAlign w:val="bottom"/>
            <w:vMerge w:val="restart"/>
          </w:tcPr>
          <w:p>
            <w:pPr>
              <w:jc w:val="right"/>
              <w:spacing w:after="0"/>
              <w:rPr>
                <w:sz w:val="20"/>
                <w:szCs w:val="20"/>
                <w:color w:val="auto"/>
              </w:rPr>
            </w:pPr>
            <w:r>
              <w:rPr>
                <w:rFonts w:ascii="Times New Roman" w:cs="Times New Roman" w:eastAsia="Times New Roman" w:hAnsi="Times New Roman"/>
                <w:sz w:val="30"/>
                <w:szCs w:val="30"/>
                <w:color w:val="auto"/>
              </w:rPr>
              <w:t>(1</w:t>
            </w:r>
            <w:r>
              <w:rPr>
                <w:rFonts w:ascii="Symbol" w:cs="Symbol" w:eastAsia="Symbol" w:hAnsi="Symbol"/>
                <w:sz w:val="30"/>
                <w:szCs w:val="30"/>
                <w:color w:val="auto"/>
              </w:rPr>
              <w:t></w:t>
            </w:r>
            <w:r>
              <w:rPr>
                <w:rFonts w:ascii="Times New Roman" w:cs="Times New Roman" w:eastAsia="Times New Roman" w:hAnsi="Times New Roman"/>
                <w:sz w:val="30"/>
                <w:szCs w:val="30"/>
                <w:color w:val="auto"/>
              </w:rPr>
              <w:t xml:space="preserve"> </w:t>
            </w:r>
            <w:r>
              <w:rPr>
                <w:rFonts w:ascii="Times New Roman" w:cs="Times New Roman" w:eastAsia="Times New Roman" w:hAnsi="Times New Roman"/>
                <w:sz w:val="30"/>
                <w:szCs w:val="30"/>
                <w:i w:val="1"/>
                <w:iCs w:val="1"/>
                <w:color w:val="auto"/>
              </w:rPr>
              <w:t>r</w:t>
            </w:r>
            <w:r>
              <w:rPr>
                <w:rFonts w:ascii="Times New Roman" w:cs="Times New Roman" w:eastAsia="Times New Roman" w:hAnsi="Times New Roman"/>
                <w:sz w:val="30"/>
                <w:szCs w:val="30"/>
                <w:color w:val="auto"/>
              </w:rPr>
              <w:t>)</w:t>
            </w:r>
          </w:p>
        </w:tc>
        <w:tc>
          <w:tcPr>
            <w:tcW w:w="340" w:type="dxa"/>
            <w:vAlign w:val="bottom"/>
            <w:gridSpan w:val="2"/>
          </w:tcPr>
          <w:p>
            <w:pPr>
              <w:jc w:val="right"/>
              <w:spacing w:after="0" w:line="145" w:lineRule="exact"/>
              <w:rPr>
                <w:sz w:val="20"/>
                <w:szCs w:val="20"/>
                <w:color w:val="auto"/>
              </w:rPr>
            </w:pPr>
            <w:r>
              <w:rPr>
                <w:rFonts w:ascii="Times New Roman" w:cs="Times New Roman" w:eastAsia="Times New Roman" w:hAnsi="Times New Roman"/>
                <w:sz w:val="11"/>
                <w:szCs w:val="11"/>
                <w:i w:val="1"/>
                <w:iCs w:val="1"/>
                <w:color w:val="auto"/>
              </w:rPr>
              <w:t xml:space="preserve">n </w:t>
            </w:r>
            <w:r>
              <w:rPr>
                <w:rFonts w:ascii="Symbol" w:cs="Symbol" w:eastAsia="Symbol" w:hAnsi="Symbol"/>
                <w:sz w:val="15"/>
                <w:szCs w:val="15"/>
                <w:color w:val="auto"/>
              </w:rPr>
              <w:t></w:t>
            </w:r>
          </w:p>
        </w:tc>
        <w:tc>
          <w:tcPr>
            <w:tcW w:w="240" w:type="dxa"/>
            <w:vAlign w:val="bottom"/>
            <w:vMerge w:val="continue"/>
          </w:tcPr>
          <w:p>
            <w:pPr>
              <w:spacing w:after="0"/>
              <w:rPr>
                <w:sz w:val="12"/>
                <w:szCs w:val="12"/>
                <w:color w:val="auto"/>
              </w:rPr>
            </w:pPr>
          </w:p>
        </w:tc>
        <w:tc>
          <w:tcPr>
            <w:tcW w:w="740" w:type="dxa"/>
            <w:vAlign w:val="bottom"/>
            <w:vMerge w:val="restart"/>
          </w:tcPr>
          <w:p>
            <w:pPr>
              <w:ind w:left="20"/>
              <w:spacing w:after="0"/>
              <w:rPr>
                <w:sz w:val="20"/>
                <w:szCs w:val="20"/>
                <w:color w:val="auto"/>
              </w:rPr>
            </w:pPr>
            <w:r>
              <w:rPr>
                <w:rFonts w:ascii="Times New Roman" w:cs="Times New Roman" w:eastAsia="Times New Roman" w:hAnsi="Times New Roman"/>
                <w:sz w:val="30"/>
                <w:szCs w:val="30"/>
                <w:color w:val="auto"/>
                <w:w w:val="99"/>
              </w:rPr>
              <w:t>(1</w:t>
            </w:r>
            <w:r>
              <w:rPr>
                <w:rFonts w:ascii="Symbol" w:cs="Symbol" w:eastAsia="Symbol" w:hAnsi="Symbol"/>
                <w:sz w:val="30"/>
                <w:szCs w:val="30"/>
                <w:color w:val="auto"/>
                <w:w w:val="99"/>
              </w:rPr>
              <w:t></w:t>
            </w:r>
            <w:r>
              <w:rPr>
                <w:rFonts w:ascii="Times New Roman" w:cs="Times New Roman" w:eastAsia="Times New Roman" w:hAnsi="Times New Roman"/>
                <w:sz w:val="30"/>
                <w:szCs w:val="30"/>
                <w:color w:val="auto"/>
                <w:w w:val="99"/>
              </w:rPr>
              <w:t xml:space="preserve"> </w:t>
            </w:r>
            <w:r>
              <w:rPr>
                <w:rFonts w:ascii="Times New Roman" w:cs="Times New Roman" w:eastAsia="Times New Roman" w:hAnsi="Times New Roman"/>
                <w:sz w:val="30"/>
                <w:szCs w:val="30"/>
                <w:i w:val="1"/>
                <w:iCs w:val="1"/>
                <w:color w:val="auto"/>
                <w:w w:val="99"/>
              </w:rPr>
              <w:t>r</w:t>
            </w:r>
            <w:r>
              <w:rPr>
                <w:rFonts w:ascii="Times New Roman" w:cs="Times New Roman" w:eastAsia="Times New Roman" w:hAnsi="Times New Roman"/>
                <w:sz w:val="30"/>
                <w:szCs w:val="30"/>
                <w:color w:val="auto"/>
                <w:w w:val="99"/>
              </w:rPr>
              <w:t>)</w:t>
            </w:r>
          </w:p>
        </w:tc>
        <w:tc>
          <w:tcPr>
            <w:tcW w:w="300" w:type="dxa"/>
            <w:vAlign w:val="bottom"/>
            <w:gridSpan w:val="2"/>
            <w:vMerge w:val="continue"/>
          </w:tcPr>
          <w:p>
            <w:pPr>
              <w:spacing w:after="0"/>
              <w:rPr>
                <w:sz w:val="12"/>
                <w:szCs w:val="12"/>
                <w:color w:val="auto"/>
              </w:rPr>
            </w:pPr>
          </w:p>
        </w:tc>
        <w:tc>
          <w:tcPr>
            <w:tcW w:w="0" w:type="dxa"/>
            <w:vAlign w:val="bottom"/>
          </w:tcPr>
          <w:p>
            <w:pPr>
              <w:spacing w:after="0"/>
              <w:rPr>
                <w:sz w:val="1"/>
                <w:szCs w:val="1"/>
                <w:color w:val="auto"/>
              </w:rPr>
            </w:pPr>
          </w:p>
        </w:tc>
      </w:tr>
      <w:tr>
        <w:trPr>
          <w:trHeight w:val="582"/>
        </w:trPr>
        <w:tc>
          <w:tcPr>
            <w:tcW w:w="500" w:type="dxa"/>
            <w:vAlign w:val="bottom"/>
          </w:tcPr>
          <w:p>
            <w:pPr>
              <w:spacing w:after="0"/>
              <w:rPr>
                <w:sz w:val="24"/>
                <w:szCs w:val="24"/>
                <w:color w:val="auto"/>
              </w:rPr>
            </w:pPr>
          </w:p>
        </w:tc>
        <w:tc>
          <w:tcPr>
            <w:tcW w:w="580" w:type="dxa"/>
            <w:vAlign w:val="bottom"/>
            <w:gridSpan w:val="2"/>
          </w:tcPr>
          <w:p>
            <w:pPr>
              <w:jc w:val="right"/>
              <w:ind w:right="111"/>
              <w:spacing w:after="0" w:line="582" w:lineRule="exact"/>
              <w:rPr>
                <w:sz w:val="20"/>
                <w:szCs w:val="20"/>
                <w:color w:val="auto"/>
              </w:rPr>
            </w:pPr>
            <w:r>
              <w:rPr>
                <w:rFonts w:ascii="Times New Roman" w:cs="Times New Roman" w:eastAsia="Times New Roman" w:hAnsi="Times New Roman"/>
                <w:sz w:val="30"/>
                <w:szCs w:val="30"/>
                <w:i w:val="1"/>
                <w:iCs w:val="1"/>
                <w:color w:val="auto"/>
              </w:rPr>
              <w:t xml:space="preserve">r </w:t>
            </w:r>
            <w:r>
              <w:rPr>
                <w:rFonts w:ascii="Symbol" w:cs="Symbol" w:eastAsia="Symbol" w:hAnsi="Symbol"/>
                <w:sz w:val="60"/>
                <w:szCs w:val="60"/>
                <w:color w:val="auto"/>
                <w:vertAlign w:val="subscript"/>
              </w:rPr>
              <w:t></w:t>
            </w:r>
          </w:p>
        </w:tc>
        <w:tc>
          <w:tcPr>
            <w:tcW w:w="220" w:type="dxa"/>
            <w:vAlign w:val="bottom"/>
          </w:tcPr>
          <w:p>
            <w:pPr>
              <w:spacing w:after="0"/>
              <w:rPr>
                <w:sz w:val="24"/>
                <w:szCs w:val="24"/>
                <w:color w:val="auto"/>
              </w:rPr>
            </w:pPr>
          </w:p>
        </w:tc>
        <w:tc>
          <w:tcPr>
            <w:tcW w:w="760" w:type="dxa"/>
            <w:vAlign w:val="bottom"/>
            <w:vMerge w:val="continue"/>
          </w:tcPr>
          <w:p>
            <w:pPr>
              <w:spacing w:after="0"/>
              <w:rPr>
                <w:sz w:val="24"/>
                <w:szCs w:val="24"/>
                <w:color w:val="auto"/>
              </w:rPr>
            </w:pPr>
          </w:p>
        </w:tc>
        <w:tc>
          <w:tcPr>
            <w:tcW w:w="160" w:type="dxa"/>
            <w:vAlign w:val="bottom"/>
          </w:tcPr>
          <w:p>
            <w:pPr>
              <w:spacing w:after="0"/>
              <w:rPr>
                <w:sz w:val="24"/>
                <w:szCs w:val="24"/>
                <w:color w:val="auto"/>
              </w:rPr>
            </w:pPr>
          </w:p>
        </w:tc>
        <w:tc>
          <w:tcPr>
            <w:tcW w:w="180" w:type="dxa"/>
            <w:vAlign w:val="bottom"/>
          </w:tcPr>
          <w:p>
            <w:pPr>
              <w:jc w:val="right"/>
              <w:spacing w:after="0"/>
              <w:rPr>
                <w:sz w:val="20"/>
                <w:szCs w:val="20"/>
                <w:color w:val="auto"/>
              </w:rPr>
            </w:pPr>
            <w:r>
              <w:rPr>
                <w:rFonts w:ascii="Symbol" w:cs="Symbol" w:eastAsia="Symbol" w:hAnsi="Symbol"/>
                <w:sz w:val="30"/>
                <w:szCs w:val="30"/>
                <w:color w:val="auto"/>
              </w:rPr>
              <w:t></w:t>
            </w:r>
          </w:p>
        </w:tc>
        <w:tc>
          <w:tcPr>
            <w:tcW w:w="240" w:type="dxa"/>
            <w:vAlign w:val="bottom"/>
          </w:tcPr>
          <w:p>
            <w:pPr>
              <w:spacing w:after="0"/>
              <w:rPr>
                <w:sz w:val="24"/>
                <w:szCs w:val="24"/>
                <w:color w:val="auto"/>
              </w:rPr>
            </w:pPr>
          </w:p>
        </w:tc>
        <w:tc>
          <w:tcPr>
            <w:tcW w:w="740" w:type="dxa"/>
            <w:vAlign w:val="bottom"/>
            <w:vMerge w:val="continue"/>
          </w:tcPr>
          <w:p>
            <w:pPr>
              <w:spacing w:after="0"/>
              <w:rPr>
                <w:sz w:val="24"/>
                <w:szCs w:val="24"/>
                <w:color w:val="auto"/>
              </w:rPr>
            </w:pPr>
          </w:p>
        </w:tc>
        <w:tc>
          <w:tcPr>
            <w:tcW w:w="1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bl>
    <w:p>
      <w:pPr>
        <w:ind w:left="260"/>
        <w:spacing w:after="0"/>
        <w:rPr>
          <w:sz w:val="20"/>
          <w:szCs w:val="20"/>
          <w:color w:val="auto"/>
        </w:rPr>
      </w:pPr>
      <w:r>
        <w:rPr>
          <w:rFonts w:ascii="Times New Roman" w:cs="Times New Roman" w:eastAsia="Times New Roman" w:hAnsi="Times New Roman"/>
          <w:sz w:val="28"/>
          <w:szCs w:val="28"/>
          <w:color w:val="auto"/>
        </w:rPr>
        <w:t>где Е - чистый средний доход, производимый ежегодно всей системой.</w:t>
      </w:r>
    </w:p>
    <w:p>
      <w:pPr>
        <w:jc w:val="both"/>
        <w:ind w:left="260" w:right="100" w:firstLine="720"/>
        <w:spacing w:after="0"/>
        <w:rPr>
          <w:sz w:val="20"/>
          <w:szCs w:val="20"/>
          <w:color w:val="auto"/>
        </w:rPr>
      </w:pPr>
      <w:r>
        <w:rPr>
          <w:rFonts w:ascii="Times New Roman" w:cs="Times New Roman" w:eastAsia="Times New Roman" w:hAnsi="Times New Roman"/>
          <w:sz w:val="28"/>
          <w:szCs w:val="28"/>
          <w:color w:val="auto"/>
        </w:rPr>
        <w:t>Этап 3. Определяют стоимость машинного комплекса вычитанием из стоимости всей системы стоимости земли, здания и сооружений.</w:t>
      </w:r>
    </w:p>
    <w:p>
      <w:pPr>
        <w:jc w:val="both"/>
        <w:ind w:left="260" w:right="100" w:firstLine="720"/>
        <w:spacing w:after="0" w:line="239" w:lineRule="auto"/>
        <w:rPr>
          <w:sz w:val="20"/>
          <w:szCs w:val="20"/>
          <w:color w:val="auto"/>
        </w:rPr>
      </w:pPr>
      <w:r>
        <w:rPr>
          <w:rFonts w:ascii="Times New Roman" w:cs="Times New Roman" w:eastAsia="Times New Roman" w:hAnsi="Times New Roman"/>
          <w:sz w:val="28"/>
          <w:szCs w:val="28"/>
          <w:color w:val="auto"/>
        </w:rPr>
        <w:t>Этап 4. Если нужно определить стоимость отдельной единицы оборудования в составе машинного комплекса, то эту стоимость выделяют с помощью долевого коэффициента, который может быть определен, например, как доля ремонтной сложности оцениваемой единицы в суммарной ремонтной сложности всего комплекса.</w:t>
      </w:r>
    </w:p>
    <w:p>
      <w:pPr>
        <w:spacing w:after="0" w:line="6" w:lineRule="exact"/>
        <w:rPr>
          <w:sz w:val="20"/>
          <w:szCs w:val="20"/>
          <w:color w:val="auto"/>
        </w:rPr>
      </w:pPr>
    </w:p>
    <w:p>
      <w:pPr>
        <w:jc w:val="both"/>
        <w:ind w:left="260" w:right="100" w:firstLine="720"/>
        <w:spacing w:after="0" w:line="243" w:lineRule="auto"/>
        <w:rPr>
          <w:sz w:val="20"/>
          <w:szCs w:val="20"/>
          <w:color w:val="auto"/>
        </w:rPr>
      </w:pPr>
      <w:r>
        <w:rPr>
          <w:rFonts w:ascii="Times New Roman" w:cs="Times New Roman" w:eastAsia="Times New Roman" w:hAnsi="Times New Roman"/>
          <w:sz w:val="28"/>
          <w:szCs w:val="28"/>
          <w:color w:val="auto"/>
        </w:rPr>
        <w:t>Расчет текущей остаточной стоимости комплекса оборудования приведен в таблице.</w:t>
      </w:r>
    </w:p>
    <w:tbl>
      <w:tblPr>
        <w:tblLayout w:type="fixed"/>
        <w:tblInd w:w="170" w:type="dxa"/>
        <w:tblCellMar>
          <w:top w:w="0" w:type="dxa"/>
          <w:left w:w="0" w:type="dxa"/>
          <w:bottom w:w="0" w:type="dxa"/>
          <w:right w:w="0" w:type="dxa"/>
        </w:tblCellMar>
      </w:tblPr>
      <w:tr>
        <w:trPr>
          <w:trHeight w:val="353"/>
        </w:trPr>
        <w:tc>
          <w:tcPr>
            <w:tcW w:w="3520" w:type="dxa"/>
            <w:vAlign w:val="bottom"/>
            <w:tcBorders>
              <w:top w:val="single" w:sz="8" w:color="auto"/>
              <w:left w:val="single" w:sz="8" w:color="auto"/>
              <w:bottom w:val="single" w:sz="8" w:color="auto"/>
              <w:right w:val="single" w:sz="8" w:color="auto"/>
            </w:tcBorders>
            <w:vMerge w:val="restart"/>
          </w:tcPr>
          <w:p>
            <w:pPr>
              <w:ind w:left="1080"/>
              <w:spacing w:after="0"/>
              <w:rPr>
                <w:sz w:val="20"/>
                <w:szCs w:val="20"/>
                <w:color w:val="auto"/>
              </w:rPr>
            </w:pPr>
            <w:r>
              <w:rPr>
                <w:rFonts w:ascii="Times New Roman" w:cs="Times New Roman" w:eastAsia="Times New Roman" w:hAnsi="Times New Roman"/>
                <w:sz w:val="28"/>
                <w:szCs w:val="28"/>
                <w:color w:val="auto"/>
              </w:rPr>
              <w:t>Показатель</w:t>
            </w:r>
          </w:p>
        </w:tc>
        <w:tc>
          <w:tcPr>
            <w:tcW w:w="1140" w:type="dxa"/>
            <w:vAlign w:val="bottom"/>
            <w:tcBorders>
              <w:top w:val="single" w:sz="8" w:color="auto"/>
              <w:bottom w:val="single" w:sz="8" w:color="auto"/>
            </w:tcBorders>
          </w:tcPr>
          <w:p>
            <w:pPr>
              <w:spacing w:after="0"/>
              <w:rPr>
                <w:sz w:val="24"/>
                <w:szCs w:val="24"/>
                <w:color w:val="auto"/>
              </w:rPr>
            </w:pPr>
          </w:p>
        </w:tc>
        <w:tc>
          <w:tcPr>
            <w:tcW w:w="980" w:type="dxa"/>
            <w:vAlign w:val="bottom"/>
            <w:tcBorders>
              <w:top w:val="single" w:sz="8" w:color="auto"/>
              <w:bottom w:val="single" w:sz="8" w:color="auto"/>
            </w:tcBorders>
          </w:tcPr>
          <w:p>
            <w:pPr>
              <w:spacing w:after="0"/>
              <w:rPr>
                <w:sz w:val="24"/>
                <w:szCs w:val="24"/>
                <w:color w:val="auto"/>
              </w:rPr>
            </w:pPr>
          </w:p>
        </w:tc>
        <w:tc>
          <w:tcPr>
            <w:tcW w:w="2000" w:type="dxa"/>
            <w:vAlign w:val="bottom"/>
            <w:tcBorders>
              <w:top w:val="single" w:sz="8" w:color="auto"/>
              <w:bottom w:val="single" w:sz="8" w:color="auto"/>
            </w:tcBorders>
            <w:gridSpan w:val="2"/>
          </w:tcPr>
          <w:p>
            <w:pPr>
              <w:ind w:left="580"/>
              <w:spacing w:after="0"/>
              <w:rPr>
                <w:sz w:val="20"/>
                <w:szCs w:val="20"/>
                <w:color w:val="auto"/>
              </w:rPr>
            </w:pPr>
            <w:r>
              <w:rPr>
                <w:rFonts w:ascii="Times New Roman" w:cs="Times New Roman" w:eastAsia="Times New Roman" w:hAnsi="Times New Roman"/>
                <w:sz w:val="28"/>
                <w:szCs w:val="28"/>
                <w:color w:val="auto"/>
              </w:rPr>
              <w:t>Годы</w:t>
            </w:r>
          </w:p>
        </w:tc>
        <w:tc>
          <w:tcPr>
            <w:tcW w:w="980" w:type="dxa"/>
            <w:vAlign w:val="bottom"/>
            <w:tcBorders>
              <w:top w:val="single" w:sz="8" w:color="auto"/>
              <w:bottom w:val="single" w:sz="8" w:color="auto"/>
            </w:tcBorders>
          </w:tcPr>
          <w:p>
            <w:pPr>
              <w:spacing w:after="0"/>
              <w:rPr>
                <w:sz w:val="24"/>
                <w:szCs w:val="24"/>
                <w:color w:val="auto"/>
              </w:rPr>
            </w:pPr>
          </w:p>
        </w:tc>
        <w:tc>
          <w:tcPr>
            <w:tcW w:w="960" w:type="dxa"/>
            <w:vAlign w:val="bottom"/>
            <w:tcBorders>
              <w:top w:val="single" w:sz="8" w:color="auto"/>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53"/>
        </w:trPr>
        <w:tc>
          <w:tcPr>
            <w:tcW w:w="3520" w:type="dxa"/>
            <w:vAlign w:val="bottom"/>
            <w:tcBorders>
              <w:left w:val="single" w:sz="8" w:color="auto"/>
              <w:right w:val="single" w:sz="8" w:color="auto"/>
            </w:tcBorders>
            <w:vMerge w:val="continue"/>
          </w:tcPr>
          <w:p>
            <w:pPr>
              <w:spacing w:after="0"/>
              <w:rPr>
                <w:sz w:val="13"/>
                <w:szCs w:val="13"/>
                <w:color w:val="auto"/>
              </w:rPr>
            </w:pPr>
          </w:p>
        </w:tc>
        <w:tc>
          <w:tcPr>
            <w:tcW w:w="1140" w:type="dxa"/>
            <w:vAlign w:val="bottom"/>
            <w:tcBorders>
              <w:right w:val="single" w:sz="8" w:color="auto"/>
            </w:tcBorders>
            <w:vMerge w:val="restart"/>
          </w:tcPr>
          <w:p>
            <w:pPr>
              <w:ind w:left="480"/>
              <w:spacing w:after="0"/>
              <w:rPr>
                <w:sz w:val="20"/>
                <w:szCs w:val="20"/>
                <w:color w:val="auto"/>
              </w:rPr>
            </w:pPr>
            <w:r>
              <w:rPr>
                <w:rFonts w:ascii="Times New Roman" w:cs="Times New Roman" w:eastAsia="Times New Roman" w:hAnsi="Times New Roman"/>
                <w:sz w:val="28"/>
                <w:szCs w:val="28"/>
                <w:color w:val="auto"/>
              </w:rPr>
              <w:t>3</w:t>
            </w:r>
          </w:p>
        </w:tc>
        <w:tc>
          <w:tcPr>
            <w:tcW w:w="980" w:type="dxa"/>
            <w:vAlign w:val="bottom"/>
            <w:tcBorders>
              <w:right w:val="single" w:sz="8" w:color="auto"/>
            </w:tcBorders>
            <w:vMerge w:val="restart"/>
          </w:tcPr>
          <w:p>
            <w:pPr>
              <w:ind w:left="400"/>
              <w:spacing w:after="0"/>
              <w:rPr>
                <w:sz w:val="20"/>
                <w:szCs w:val="20"/>
                <w:color w:val="auto"/>
              </w:rPr>
            </w:pPr>
            <w:r>
              <w:rPr>
                <w:rFonts w:ascii="Times New Roman" w:cs="Times New Roman" w:eastAsia="Times New Roman" w:hAnsi="Times New Roman"/>
                <w:sz w:val="28"/>
                <w:szCs w:val="28"/>
                <w:color w:val="auto"/>
              </w:rPr>
              <w:t>4</w:t>
            </w:r>
          </w:p>
        </w:tc>
        <w:tc>
          <w:tcPr>
            <w:tcW w:w="1000" w:type="dxa"/>
            <w:vAlign w:val="bottom"/>
            <w:tcBorders>
              <w:right w:val="single" w:sz="8" w:color="auto"/>
            </w:tcBorders>
            <w:vMerge w:val="restart"/>
          </w:tcPr>
          <w:p>
            <w:pPr>
              <w:ind w:left="420"/>
              <w:spacing w:after="0"/>
              <w:rPr>
                <w:sz w:val="20"/>
                <w:szCs w:val="20"/>
                <w:color w:val="auto"/>
              </w:rPr>
            </w:pPr>
            <w:r>
              <w:rPr>
                <w:rFonts w:ascii="Times New Roman" w:cs="Times New Roman" w:eastAsia="Times New Roman" w:hAnsi="Times New Roman"/>
                <w:sz w:val="28"/>
                <w:szCs w:val="28"/>
                <w:color w:val="auto"/>
              </w:rPr>
              <w:t>5</w:t>
            </w:r>
          </w:p>
        </w:tc>
        <w:tc>
          <w:tcPr>
            <w:tcW w:w="1000" w:type="dxa"/>
            <w:vAlign w:val="bottom"/>
            <w:tcBorders>
              <w:right w:val="single" w:sz="8" w:color="auto"/>
            </w:tcBorders>
            <w:vMerge w:val="restart"/>
          </w:tcPr>
          <w:p>
            <w:pPr>
              <w:ind w:left="400"/>
              <w:spacing w:after="0"/>
              <w:rPr>
                <w:sz w:val="20"/>
                <w:szCs w:val="20"/>
                <w:color w:val="auto"/>
              </w:rPr>
            </w:pPr>
            <w:r>
              <w:rPr>
                <w:rFonts w:ascii="Times New Roman" w:cs="Times New Roman" w:eastAsia="Times New Roman" w:hAnsi="Times New Roman"/>
                <w:sz w:val="28"/>
                <w:szCs w:val="28"/>
                <w:color w:val="auto"/>
              </w:rPr>
              <w:t>6</w:t>
            </w:r>
          </w:p>
        </w:tc>
        <w:tc>
          <w:tcPr>
            <w:tcW w:w="980" w:type="dxa"/>
            <w:vAlign w:val="bottom"/>
            <w:tcBorders>
              <w:right w:val="single" w:sz="8" w:color="auto"/>
            </w:tcBorders>
            <w:vMerge w:val="restart"/>
          </w:tcPr>
          <w:p>
            <w:pPr>
              <w:ind w:left="400"/>
              <w:spacing w:after="0"/>
              <w:rPr>
                <w:sz w:val="20"/>
                <w:szCs w:val="20"/>
                <w:color w:val="auto"/>
              </w:rPr>
            </w:pPr>
            <w:r>
              <w:rPr>
                <w:rFonts w:ascii="Times New Roman" w:cs="Times New Roman" w:eastAsia="Times New Roman" w:hAnsi="Times New Roman"/>
                <w:sz w:val="28"/>
                <w:szCs w:val="28"/>
                <w:color w:val="auto"/>
              </w:rPr>
              <w:t>7</w:t>
            </w:r>
          </w:p>
        </w:tc>
        <w:tc>
          <w:tcPr>
            <w:tcW w:w="960" w:type="dxa"/>
            <w:vAlign w:val="bottom"/>
            <w:tcBorders>
              <w:right w:val="single" w:sz="8" w:color="auto"/>
            </w:tcBorders>
            <w:vMerge w:val="restart"/>
          </w:tcPr>
          <w:p>
            <w:pPr>
              <w:ind w:left="400"/>
              <w:spacing w:after="0"/>
              <w:rPr>
                <w:sz w:val="20"/>
                <w:szCs w:val="20"/>
                <w:color w:val="auto"/>
              </w:rPr>
            </w:pPr>
            <w:r>
              <w:rPr>
                <w:rFonts w:ascii="Times New Roman" w:cs="Times New Roman" w:eastAsia="Times New Roman" w:hAnsi="Times New Roman"/>
                <w:sz w:val="28"/>
                <w:szCs w:val="28"/>
                <w:color w:val="auto"/>
              </w:rPr>
              <w:t>8</w:t>
            </w:r>
          </w:p>
        </w:tc>
        <w:tc>
          <w:tcPr>
            <w:tcW w:w="0" w:type="dxa"/>
            <w:vAlign w:val="bottom"/>
          </w:tcPr>
          <w:p>
            <w:pPr>
              <w:spacing w:after="0"/>
              <w:rPr>
                <w:sz w:val="1"/>
                <w:szCs w:val="1"/>
                <w:color w:val="auto"/>
              </w:rPr>
            </w:pPr>
          </w:p>
        </w:tc>
      </w:tr>
      <w:tr>
        <w:trPr>
          <w:trHeight w:val="186"/>
        </w:trPr>
        <w:tc>
          <w:tcPr>
            <w:tcW w:w="3520" w:type="dxa"/>
            <w:vAlign w:val="bottom"/>
            <w:tcBorders>
              <w:left w:val="single" w:sz="8" w:color="auto"/>
              <w:bottom w:val="single" w:sz="8" w:color="auto"/>
              <w:right w:val="single" w:sz="8" w:color="auto"/>
            </w:tcBorders>
          </w:tcPr>
          <w:p>
            <w:pPr>
              <w:spacing w:after="0"/>
              <w:rPr>
                <w:sz w:val="16"/>
                <w:szCs w:val="16"/>
                <w:color w:val="auto"/>
              </w:rPr>
            </w:pPr>
          </w:p>
        </w:tc>
        <w:tc>
          <w:tcPr>
            <w:tcW w:w="1140" w:type="dxa"/>
            <w:vAlign w:val="bottom"/>
            <w:tcBorders>
              <w:bottom w:val="single" w:sz="8" w:color="auto"/>
              <w:right w:val="single" w:sz="8" w:color="auto"/>
            </w:tcBorders>
            <w:vMerge w:val="continue"/>
          </w:tcPr>
          <w:p>
            <w:pPr>
              <w:spacing w:after="0"/>
              <w:rPr>
                <w:sz w:val="16"/>
                <w:szCs w:val="16"/>
                <w:color w:val="auto"/>
              </w:rPr>
            </w:pPr>
          </w:p>
        </w:tc>
        <w:tc>
          <w:tcPr>
            <w:tcW w:w="980" w:type="dxa"/>
            <w:vAlign w:val="bottom"/>
            <w:tcBorders>
              <w:bottom w:val="single" w:sz="8" w:color="auto"/>
              <w:right w:val="single" w:sz="8" w:color="auto"/>
            </w:tcBorders>
            <w:vMerge w:val="continue"/>
          </w:tcPr>
          <w:p>
            <w:pPr>
              <w:spacing w:after="0"/>
              <w:rPr>
                <w:sz w:val="16"/>
                <w:szCs w:val="16"/>
                <w:color w:val="auto"/>
              </w:rPr>
            </w:pPr>
          </w:p>
        </w:tc>
        <w:tc>
          <w:tcPr>
            <w:tcW w:w="1000" w:type="dxa"/>
            <w:vAlign w:val="bottom"/>
            <w:tcBorders>
              <w:bottom w:val="single" w:sz="8" w:color="auto"/>
              <w:right w:val="single" w:sz="8" w:color="auto"/>
            </w:tcBorders>
            <w:vMerge w:val="continue"/>
          </w:tcPr>
          <w:p>
            <w:pPr>
              <w:spacing w:after="0"/>
              <w:rPr>
                <w:sz w:val="16"/>
                <w:szCs w:val="16"/>
                <w:color w:val="auto"/>
              </w:rPr>
            </w:pPr>
          </w:p>
        </w:tc>
        <w:tc>
          <w:tcPr>
            <w:tcW w:w="1000" w:type="dxa"/>
            <w:vAlign w:val="bottom"/>
            <w:tcBorders>
              <w:bottom w:val="single" w:sz="8" w:color="auto"/>
              <w:right w:val="single" w:sz="8" w:color="auto"/>
            </w:tcBorders>
            <w:vMerge w:val="continue"/>
          </w:tcPr>
          <w:p>
            <w:pPr>
              <w:spacing w:after="0"/>
              <w:rPr>
                <w:sz w:val="16"/>
                <w:szCs w:val="16"/>
                <w:color w:val="auto"/>
              </w:rPr>
            </w:pPr>
          </w:p>
        </w:tc>
        <w:tc>
          <w:tcPr>
            <w:tcW w:w="980" w:type="dxa"/>
            <w:vAlign w:val="bottom"/>
            <w:tcBorders>
              <w:bottom w:val="single" w:sz="8" w:color="auto"/>
              <w:right w:val="single" w:sz="8" w:color="auto"/>
            </w:tcBorders>
            <w:vMerge w:val="continue"/>
          </w:tcPr>
          <w:p>
            <w:pPr>
              <w:spacing w:after="0"/>
              <w:rPr>
                <w:sz w:val="16"/>
                <w:szCs w:val="16"/>
                <w:color w:val="auto"/>
              </w:rPr>
            </w:pPr>
          </w:p>
        </w:tc>
        <w:tc>
          <w:tcPr>
            <w:tcW w:w="960" w:type="dxa"/>
            <w:vAlign w:val="bottom"/>
            <w:tcBorders>
              <w:bottom w:val="single" w:sz="8" w:color="auto"/>
              <w:right w:val="single" w:sz="8" w:color="auto"/>
            </w:tcBorders>
            <w:vMerge w:val="continue"/>
          </w:tcPr>
          <w:p>
            <w:pPr>
              <w:spacing w:after="0"/>
              <w:rPr>
                <w:sz w:val="16"/>
                <w:szCs w:val="16"/>
                <w:color w:val="auto"/>
              </w:rPr>
            </w:pPr>
          </w:p>
        </w:tc>
        <w:tc>
          <w:tcPr>
            <w:tcW w:w="0" w:type="dxa"/>
            <w:vAlign w:val="bottom"/>
          </w:tcPr>
          <w:p>
            <w:pPr>
              <w:spacing w:after="0"/>
              <w:rPr>
                <w:sz w:val="1"/>
                <w:szCs w:val="1"/>
                <w:color w:val="auto"/>
              </w:rPr>
            </w:pPr>
          </w:p>
        </w:tc>
      </w:tr>
      <w:tr>
        <w:trPr>
          <w:trHeight w:val="339"/>
        </w:trPr>
        <w:tc>
          <w:tcPr>
            <w:tcW w:w="3520" w:type="dxa"/>
            <w:vAlign w:val="bottom"/>
            <w:tcBorders>
              <w:left w:val="single" w:sz="8" w:color="auto"/>
              <w:bottom w:val="single" w:sz="8" w:color="auto"/>
              <w:right w:val="single" w:sz="8" w:color="auto"/>
            </w:tcBorders>
          </w:tcPr>
          <w:p>
            <w:pPr>
              <w:ind w:left="100"/>
              <w:spacing w:after="0"/>
              <w:rPr>
                <w:sz w:val="20"/>
                <w:szCs w:val="20"/>
                <w:color w:val="auto"/>
              </w:rPr>
            </w:pPr>
            <w:r>
              <w:rPr>
                <w:rFonts w:ascii="Times New Roman" w:cs="Times New Roman" w:eastAsia="Times New Roman" w:hAnsi="Times New Roman"/>
                <w:sz w:val="28"/>
                <w:szCs w:val="28"/>
                <w:color w:val="auto"/>
              </w:rPr>
              <w:t>Номер года в расчетах</w:t>
            </w:r>
          </w:p>
        </w:tc>
        <w:tc>
          <w:tcPr>
            <w:tcW w:w="1140" w:type="dxa"/>
            <w:vAlign w:val="bottom"/>
            <w:tcBorders>
              <w:bottom w:val="single" w:sz="8" w:color="auto"/>
              <w:right w:val="single" w:sz="8" w:color="auto"/>
            </w:tcBorders>
          </w:tcPr>
          <w:p>
            <w:pPr>
              <w:ind w:left="480"/>
              <w:spacing w:after="0"/>
              <w:rPr>
                <w:sz w:val="20"/>
                <w:szCs w:val="20"/>
                <w:color w:val="auto"/>
              </w:rPr>
            </w:pPr>
            <w:r>
              <w:rPr>
                <w:rFonts w:ascii="Times New Roman" w:cs="Times New Roman" w:eastAsia="Times New Roman" w:hAnsi="Times New Roman"/>
                <w:sz w:val="28"/>
                <w:szCs w:val="28"/>
                <w:color w:val="auto"/>
              </w:rPr>
              <w:t>1</w:t>
            </w:r>
          </w:p>
        </w:tc>
        <w:tc>
          <w:tcPr>
            <w:tcW w:w="980" w:type="dxa"/>
            <w:vAlign w:val="bottom"/>
            <w:tcBorders>
              <w:bottom w:val="single" w:sz="8" w:color="auto"/>
              <w:right w:val="single" w:sz="8" w:color="auto"/>
            </w:tcBorders>
          </w:tcPr>
          <w:p>
            <w:pPr>
              <w:ind w:left="400"/>
              <w:spacing w:after="0"/>
              <w:rPr>
                <w:sz w:val="20"/>
                <w:szCs w:val="20"/>
                <w:color w:val="auto"/>
              </w:rPr>
            </w:pPr>
            <w:r>
              <w:rPr>
                <w:rFonts w:ascii="Times New Roman" w:cs="Times New Roman" w:eastAsia="Times New Roman" w:hAnsi="Times New Roman"/>
                <w:sz w:val="28"/>
                <w:szCs w:val="28"/>
                <w:color w:val="auto"/>
              </w:rPr>
              <w:t>2</w:t>
            </w:r>
          </w:p>
        </w:tc>
        <w:tc>
          <w:tcPr>
            <w:tcW w:w="1000" w:type="dxa"/>
            <w:vAlign w:val="bottom"/>
            <w:tcBorders>
              <w:bottom w:val="single" w:sz="8" w:color="auto"/>
              <w:right w:val="single" w:sz="8" w:color="auto"/>
            </w:tcBorders>
          </w:tcPr>
          <w:p>
            <w:pPr>
              <w:ind w:left="420"/>
              <w:spacing w:after="0"/>
              <w:rPr>
                <w:sz w:val="20"/>
                <w:szCs w:val="20"/>
                <w:color w:val="auto"/>
              </w:rPr>
            </w:pPr>
            <w:r>
              <w:rPr>
                <w:rFonts w:ascii="Times New Roman" w:cs="Times New Roman" w:eastAsia="Times New Roman" w:hAnsi="Times New Roman"/>
                <w:sz w:val="28"/>
                <w:szCs w:val="28"/>
                <w:color w:val="auto"/>
              </w:rPr>
              <w:t>3</w:t>
            </w:r>
          </w:p>
        </w:tc>
        <w:tc>
          <w:tcPr>
            <w:tcW w:w="1000" w:type="dxa"/>
            <w:vAlign w:val="bottom"/>
            <w:tcBorders>
              <w:bottom w:val="single" w:sz="8" w:color="auto"/>
              <w:right w:val="single" w:sz="8" w:color="auto"/>
            </w:tcBorders>
          </w:tcPr>
          <w:p>
            <w:pPr>
              <w:ind w:left="400"/>
              <w:spacing w:after="0"/>
              <w:rPr>
                <w:sz w:val="20"/>
                <w:szCs w:val="20"/>
                <w:color w:val="auto"/>
              </w:rPr>
            </w:pPr>
            <w:r>
              <w:rPr>
                <w:rFonts w:ascii="Times New Roman" w:cs="Times New Roman" w:eastAsia="Times New Roman" w:hAnsi="Times New Roman"/>
                <w:sz w:val="28"/>
                <w:szCs w:val="28"/>
                <w:color w:val="auto"/>
              </w:rPr>
              <w:t>4</w:t>
            </w:r>
          </w:p>
        </w:tc>
        <w:tc>
          <w:tcPr>
            <w:tcW w:w="980" w:type="dxa"/>
            <w:vAlign w:val="bottom"/>
            <w:tcBorders>
              <w:bottom w:val="single" w:sz="8" w:color="auto"/>
              <w:right w:val="single" w:sz="8" w:color="auto"/>
            </w:tcBorders>
          </w:tcPr>
          <w:p>
            <w:pPr>
              <w:ind w:left="400"/>
              <w:spacing w:after="0"/>
              <w:rPr>
                <w:sz w:val="20"/>
                <w:szCs w:val="20"/>
                <w:color w:val="auto"/>
              </w:rPr>
            </w:pPr>
            <w:r>
              <w:rPr>
                <w:rFonts w:ascii="Times New Roman" w:cs="Times New Roman" w:eastAsia="Times New Roman" w:hAnsi="Times New Roman"/>
                <w:sz w:val="28"/>
                <w:szCs w:val="28"/>
                <w:color w:val="auto"/>
              </w:rPr>
              <w:t>5</w:t>
            </w:r>
          </w:p>
        </w:tc>
        <w:tc>
          <w:tcPr>
            <w:tcW w:w="960" w:type="dxa"/>
            <w:vAlign w:val="bottom"/>
            <w:tcBorders>
              <w:bottom w:val="single" w:sz="8" w:color="auto"/>
              <w:right w:val="single" w:sz="8" w:color="auto"/>
            </w:tcBorders>
          </w:tcPr>
          <w:p>
            <w:pPr>
              <w:ind w:left="400"/>
              <w:spacing w:after="0"/>
              <w:rPr>
                <w:sz w:val="20"/>
                <w:szCs w:val="20"/>
                <w:color w:val="auto"/>
              </w:rPr>
            </w:pPr>
            <w:r>
              <w:rPr>
                <w:rFonts w:ascii="Times New Roman" w:cs="Times New Roman" w:eastAsia="Times New Roman" w:hAnsi="Times New Roman"/>
                <w:sz w:val="28"/>
                <w:szCs w:val="28"/>
                <w:color w:val="auto"/>
              </w:rPr>
              <w:t>6</w:t>
            </w:r>
          </w:p>
        </w:tc>
        <w:tc>
          <w:tcPr>
            <w:tcW w:w="0" w:type="dxa"/>
            <w:vAlign w:val="bottom"/>
          </w:tcPr>
          <w:p>
            <w:pPr>
              <w:spacing w:after="0"/>
              <w:rPr>
                <w:sz w:val="1"/>
                <w:szCs w:val="1"/>
                <w:color w:val="auto"/>
              </w:rPr>
            </w:pPr>
          </w:p>
        </w:tc>
      </w:tr>
      <w:tr>
        <w:trPr>
          <w:trHeight w:val="317"/>
        </w:trPr>
        <w:tc>
          <w:tcPr>
            <w:tcW w:w="3520" w:type="dxa"/>
            <w:vAlign w:val="bottom"/>
            <w:tcBorders>
              <w:left w:val="single" w:sz="8" w:color="auto"/>
              <w:right w:val="single" w:sz="8" w:color="auto"/>
            </w:tcBorders>
          </w:tcPr>
          <w:p>
            <w:pPr>
              <w:ind w:left="100"/>
              <w:spacing w:after="0" w:line="317" w:lineRule="exact"/>
              <w:rPr>
                <w:sz w:val="20"/>
                <w:szCs w:val="20"/>
                <w:color w:val="auto"/>
              </w:rPr>
            </w:pPr>
            <w:r>
              <w:rPr>
                <w:rFonts w:ascii="Times New Roman" w:cs="Times New Roman" w:eastAsia="Times New Roman" w:hAnsi="Times New Roman"/>
                <w:sz w:val="28"/>
                <w:szCs w:val="28"/>
                <w:color w:val="auto"/>
              </w:rPr>
              <w:t>Прогнозируемый чистый</w:t>
            </w:r>
          </w:p>
        </w:tc>
        <w:tc>
          <w:tcPr>
            <w:tcW w:w="1140" w:type="dxa"/>
            <w:vAlign w:val="bottom"/>
            <w:tcBorders>
              <w:right w:val="single" w:sz="8" w:color="auto"/>
            </w:tcBorders>
          </w:tcPr>
          <w:p>
            <w:pPr>
              <w:ind w:left="100"/>
              <w:spacing w:after="0" w:line="317" w:lineRule="exact"/>
              <w:rPr>
                <w:sz w:val="20"/>
                <w:szCs w:val="20"/>
                <w:color w:val="auto"/>
              </w:rPr>
            </w:pPr>
            <w:r>
              <w:rPr>
                <w:rFonts w:ascii="Times New Roman" w:cs="Times New Roman" w:eastAsia="Times New Roman" w:hAnsi="Times New Roman"/>
                <w:sz w:val="28"/>
                <w:szCs w:val="28"/>
                <w:color w:val="auto"/>
              </w:rPr>
              <w:t>44970</w:t>
            </w:r>
          </w:p>
        </w:tc>
        <w:tc>
          <w:tcPr>
            <w:tcW w:w="980" w:type="dxa"/>
            <w:vAlign w:val="bottom"/>
            <w:tcBorders>
              <w:right w:val="single" w:sz="8" w:color="auto"/>
            </w:tcBorders>
          </w:tcPr>
          <w:p>
            <w:pPr>
              <w:ind w:left="80"/>
              <w:spacing w:after="0" w:line="317" w:lineRule="exact"/>
              <w:rPr>
                <w:sz w:val="20"/>
                <w:szCs w:val="20"/>
                <w:color w:val="auto"/>
              </w:rPr>
            </w:pPr>
            <w:r>
              <w:rPr>
                <w:rFonts w:ascii="Times New Roman" w:cs="Times New Roman" w:eastAsia="Times New Roman" w:hAnsi="Times New Roman"/>
                <w:sz w:val="28"/>
                <w:szCs w:val="28"/>
                <w:color w:val="auto"/>
              </w:rPr>
              <w:t>43390</w:t>
            </w:r>
          </w:p>
        </w:tc>
        <w:tc>
          <w:tcPr>
            <w:tcW w:w="1000" w:type="dxa"/>
            <w:vAlign w:val="bottom"/>
            <w:tcBorders>
              <w:right w:val="single" w:sz="8" w:color="auto"/>
            </w:tcBorders>
          </w:tcPr>
          <w:p>
            <w:pPr>
              <w:ind w:left="100"/>
              <w:spacing w:after="0" w:line="317" w:lineRule="exact"/>
              <w:rPr>
                <w:sz w:val="20"/>
                <w:szCs w:val="20"/>
                <w:color w:val="auto"/>
              </w:rPr>
            </w:pPr>
            <w:r>
              <w:rPr>
                <w:rFonts w:ascii="Times New Roman" w:cs="Times New Roman" w:eastAsia="Times New Roman" w:hAnsi="Times New Roman"/>
                <w:sz w:val="28"/>
                <w:szCs w:val="28"/>
                <w:color w:val="auto"/>
              </w:rPr>
              <w:t>41880</w:t>
            </w:r>
          </w:p>
        </w:tc>
        <w:tc>
          <w:tcPr>
            <w:tcW w:w="1000" w:type="dxa"/>
            <w:vAlign w:val="bottom"/>
            <w:tcBorders>
              <w:right w:val="single" w:sz="8" w:color="auto"/>
            </w:tcBorders>
          </w:tcPr>
          <w:p>
            <w:pPr>
              <w:ind w:left="80"/>
              <w:spacing w:after="0" w:line="317" w:lineRule="exact"/>
              <w:rPr>
                <w:sz w:val="20"/>
                <w:szCs w:val="20"/>
                <w:color w:val="auto"/>
              </w:rPr>
            </w:pPr>
            <w:r>
              <w:rPr>
                <w:rFonts w:ascii="Times New Roman" w:cs="Times New Roman" w:eastAsia="Times New Roman" w:hAnsi="Times New Roman"/>
                <w:sz w:val="28"/>
                <w:szCs w:val="28"/>
                <w:color w:val="auto"/>
              </w:rPr>
              <w:t>40410</w:t>
            </w:r>
          </w:p>
        </w:tc>
        <w:tc>
          <w:tcPr>
            <w:tcW w:w="980" w:type="dxa"/>
            <w:vAlign w:val="bottom"/>
            <w:tcBorders>
              <w:right w:val="single" w:sz="8" w:color="auto"/>
            </w:tcBorders>
          </w:tcPr>
          <w:p>
            <w:pPr>
              <w:ind w:left="80"/>
              <w:spacing w:after="0" w:line="317" w:lineRule="exact"/>
              <w:rPr>
                <w:sz w:val="20"/>
                <w:szCs w:val="20"/>
                <w:color w:val="auto"/>
              </w:rPr>
            </w:pPr>
            <w:r>
              <w:rPr>
                <w:rFonts w:ascii="Times New Roman" w:cs="Times New Roman" w:eastAsia="Times New Roman" w:hAnsi="Times New Roman"/>
                <w:sz w:val="28"/>
                <w:szCs w:val="28"/>
                <w:color w:val="auto"/>
              </w:rPr>
              <w:t>39000</w:t>
            </w:r>
          </w:p>
        </w:tc>
        <w:tc>
          <w:tcPr>
            <w:tcW w:w="960" w:type="dxa"/>
            <w:vAlign w:val="bottom"/>
            <w:tcBorders>
              <w:right w:val="single" w:sz="8" w:color="auto"/>
            </w:tcBorders>
          </w:tcPr>
          <w:p>
            <w:pPr>
              <w:ind w:left="100"/>
              <w:spacing w:after="0" w:line="317" w:lineRule="exact"/>
              <w:rPr>
                <w:sz w:val="20"/>
                <w:szCs w:val="20"/>
                <w:color w:val="auto"/>
              </w:rPr>
            </w:pPr>
            <w:r>
              <w:rPr>
                <w:rFonts w:ascii="Times New Roman" w:cs="Times New Roman" w:eastAsia="Times New Roman" w:hAnsi="Times New Roman"/>
                <w:sz w:val="28"/>
                <w:szCs w:val="28"/>
                <w:color w:val="auto"/>
              </w:rPr>
              <w:t>37630</w:t>
            </w:r>
          </w:p>
        </w:tc>
        <w:tc>
          <w:tcPr>
            <w:tcW w:w="0" w:type="dxa"/>
            <w:vAlign w:val="bottom"/>
          </w:tcPr>
          <w:p>
            <w:pPr>
              <w:spacing w:after="0"/>
              <w:rPr>
                <w:sz w:val="1"/>
                <w:szCs w:val="1"/>
                <w:color w:val="auto"/>
              </w:rPr>
            </w:pPr>
          </w:p>
        </w:tc>
      </w:tr>
      <w:tr>
        <w:trPr>
          <w:trHeight w:val="349"/>
        </w:trPr>
        <w:tc>
          <w:tcPr>
            <w:tcW w:w="3520" w:type="dxa"/>
            <w:vAlign w:val="bottom"/>
            <w:tcBorders>
              <w:left w:val="single" w:sz="8" w:color="auto"/>
              <w:right w:val="single" w:sz="8" w:color="auto"/>
            </w:tcBorders>
          </w:tcPr>
          <w:p>
            <w:pPr>
              <w:ind w:left="100"/>
              <w:spacing w:after="0"/>
              <w:rPr>
                <w:sz w:val="20"/>
                <w:szCs w:val="20"/>
                <w:color w:val="auto"/>
              </w:rPr>
            </w:pPr>
            <w:r>
              <w:rPr>
                <w:rFonts w:ascii="Times New Roman" w:cs="Times New Roman" w:eastAsia="Times New Roman" w:hAnsi="Times New Roman"/>
                <w:sz w:val="28"/>
                <w:szCs w:val="28"/>
                <w:color w:val="auto"/>
              </w:rPr>
              <w:t>доход при среднем темпе</w:t>
            </w:r>
          </w:p>
        </w:tc>
        <w:tc>
          <w:tcPr>
            <w:tcW w:w="1140" w:type="dxa"/>
            <w:vAlign w:val="bottom"/>
            <w:tcBorders>
              <w:right w:val="single" w:sz="8" w:color="auto"/>
            </w:tcBorders>
          </w:tcPr>
          <w:p>
            <w:pPr>
              <w:spacing w:after="0"/>
              <w:rPr>
                <w:sz w:val="24"/>
                <w:szCs w:val="24"/>
                <w:color w:val="auto"/>
              </w:rPr>
            </w:pPr>
          </w:p>
        </w:tc>
        <w:tc>
          <w:tcPr>
            <w:tcW w:w="980" w:type="dxa"/>
            <w:vAlign w:val="bottom"/>
            <w:tcBorders>
              <w:right w:val="single" w:sz="8" w:color="auto"/>
            </w:tcBorders>
          </w:tcPr>
          <w:p>
            <w:pPr>
              <w:spacing w:after="0"/>
              <w:rPr>
                <w:sz w:val="24"/>
                <w:szCs w:val="24"/>
                <w:color w:val="auto"/>
              </w:rPr>
            </w:pPr>
          </w:p>
        </w:tc>
        <w:tc>
          <w:tcPr>
            <w:tcW w:w="1000" w:type="dxa"/>
            <w:vAlign w:val="bottom"/>
            <w:tcBorders>
              <w:right w:val="single" w:sz="8" w:color="auto"/>
            </w:tcBorders>
          </w:tcPr>
          <w:p>
            <w:pPr>
              <w:spacing w:after="0"/>
              <w:rPr>
                <w:sz w:val="24"/>
                <w:szCs w:val="24"/>
                <w:color w:val="auto"/>
              </w:rPr>
            </w:pPr>
          </w:p>
        </w:tc>
        <w:tc>
          <w:tcPr>
            <w:tcW w:w="1000" w:type="dxa"/>
            <w:vAlign w:val="bottom"/>
            <w:tcBorders>
              <w:right w:val="single" w:sz="8" w:color="auto"/>
            </w:tcBorders>
          </w:tcPr>
          <w:p>
            <w:pPr>
              <w:spacing w:after="0"/>
              <w:rPr>
                <w:sz w:val="24"/>
                <w:szCs w:val="24"/>
                <w:color w:val="auto"/>
              </w:rPr>
            </w:pPr>
          </w:p>
        </w:tc>
        <w:tc>
          <w:tcPr>
            <w:tcW w:w="980" w:type="dxa"/>
            <w:vAlign w:val="bottom"/>
            <w:tcBorders>
              <w:right w:val="single" w:sz="8" w:color="auto"/>
            </w:tcBorders>
          </w:tcPr>
          <w:p>
            <w:pPr>
              <w:spacing w:after="0"/>
              <w:rPr>
                <w:sz w:val="24"/>
                <w:szCs w:val="24"/>
                <w:color w:val="auto"/>
              </w:rPr>
            </w:pPr>
          </w:p>
        </w:tc>
        <w:tc>
          <w:tcPr>
            <w:tcW w:w="9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67"/>
        </w:trPr>
        <w:tc>
          <w:tcPr>
            <w:tcW w:w="3520" w:type="dxa"/>
            <w:vAlign w:val="bottom"/>
            <w:tcBorders>
              <w:left w:val="single" w:sz="8" w:color="auto"/>
              <w:bottom w:val="single" w:sz="8" w:color="auto"/>
              <w:right w:val="single" w:sz="8" w:color="auto"/>
            </w:tcBorders>
          </w:tcPr>
          <w:p>
            <w:pPr>
              <w:ind w:left="100"/>
              <w:spacing w:after="0"/>
              <w:rPr>
                <w:sz w:val="20"/>
                <w:szCs w:val="20"/>
                <w:color w:val="auto"/>
              </w:rPr>
            </w:pPr>
            <w:r>
              <w:rPr>
                <w:rFonts w:ascii="Times New Roman" w:cs="Times New Roman" w:eastAsia="Times New Roman" w:hAnsi="Times New Roman"/>
                <w:sz w:val="28"/>
                <w:szCs w:val="28"/>
                <w:color w:val="auto"/>
              </w:rPr>
              <w:t>его снижения 3,5%, руб.</w:t>
            </w:r>
          </w:p>
        </w:tc>
        <w:tc>
          <w:tcPr>
            <w:tcW w:w="1140" w:type="dxa"/>
            <w:vAlign w:val="bottom"/>
            <w:tcBorders>
              <w:bottom w:val="single" w:sz="8" w:color="auto"/>
              <w:right w:val="single" w:sz="8" w:color="auto"/>
            </w:tcBorders>
          </w:tcPr>
          <w:p>
            <w:pPr>
              <w:spacing w:after="0"/>
              <w:rPr>
                <w:sz w:val="24"/>
                <w:szCs w:val="24"/>
                <w:color w:val="auto"/>
              </w:rPr>
            </w:pPr>
          </w:p>
        </w:tc>
        <w:tc>
          <w:tcPr>
            <w:tcW w:w="980" w:type="dxa"/>
            <w:vAlign w:val="bottom"/>
            <w:tcBorders>
              <w:bottom w:val="single" w:sz="8" w:color="auto"/>
              <w:right w:val="single" w:sz="8" w:color="auto"/>
            </w:tcBorders>
          </w:tcPr>
          <w:p>
            <w:pPr>
              <w:spacing w:after="0"/>
              <w:rPr>
                <w:sz w:val="24"/>
                <w:szCs w:val="24"/>
                <w:color w:val="auto"/>
              </w:rPr>
            </w:pPr>
          </w:p>
        </w:tc>
        <w:tc>
          <w:tcPr>
            <w:tcW w:w="1000" w:type="dxa"/>
            <w:vAlign w:val="bottom"/>
            <w:tcBorders>
              <w:bottom w:val="single" w:sz="8" w:color="auto"/>
              <w:right w:val="single" w:sz="8" w:color="auto"/>
            </w:tcBorders>
          </w:tcPr>
          <w:p>
            <w:pPr>
              <w:spacing w:after="0"/>
              <w:rPr>
                <w:sz w:val="24"/>
                <w:szCs w:val="24"/>
                <w:color w:val="auto"/>
              </w:rPr>
            </w:pPr>
          </w:p>
        </w:tc>
        <w:tc>
          <w:tcPr>
            <w:tcW w:w="1000" w:type="dxa"/>
            <w:vAlign w:val="bottom"/>
            <w:tcBorders>
              <w:bottom w:val="single" w:sz="8" w:color="auto"/>
              <w:right w:val="single" w:sz="8" w:color="auto"/>
            </w:tcBorders>
          </w:tcPr>
          <w:p>
            <w:pPr>
              <w:spacing w:after="0"/>
              <w:rPr>
                <w:sz w:val="24"/>
                <w:szCs w:val="24"/>
                <w:color w:val="auto"/>
              </w:rPr>
            </w:pPr>
          </w:p>
        </w:tc>
        <w:tc>
          <w:tcPr>
            <w:tcW w:w="980" w:type="dxa"/>
            <w:vAlign w:val="bottom"/>
            <w:tcBorders>
              <w:bottom w:val="single" w:sz="8" w:color="auto"/>
              <w:right w:val="single" w:sz="8" w:color="auto"/>
            </w:tcBorders>
          </w:tcPr>
          <w:p>
            <w:pPr>
              <w:spacing w:after="0"/>
              <w:rPr>
                <w:sz w:val="24"/>
                <w:szCs w:val="24"/>
                <w:color w:val="auto"/>
              </w:rPr>
            </w:pPr>
          </w:p>
        </w:tc>
        <w:tc>
          <w:tcPr>
            <w:tcW w:w="96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42"/>
        </w:trPr>
        <w:tc>
          <w:tcPr>
            <w:tcW w:w="3520" w:type="dxa"/>
            <w:vAlign w:val="bottom"/>
            <w:tcBorders>
              <w:left w:val="single" w:sz="8" w:color="auto"/>
              <w:bottom w:val="single" w:sz="8" w:color="auto"/>
              <w:right w:val="single" w:sz="8" w:color="auto"/>
            </w:tcBorders>
          </w:tcPr>
          <w:p>
            <w:pPr>
              <w:ind w:left="100"/>
              <w:spacing w:after="0"/>
              <w:rPr>
                <w:sz w:val="20"/>
                <w:szCs w:val="20"/>
                <w:color w:val="auto"/>
              </w:rPr>
            </w:pPr>
            <w:r>
              <w:rPr>
                <w:rFonts w:ascii="Times New Roman" w:cs="Times New Roman" w:eastAsia="Times New Roman" w:hAnsi="Times New Roman"/>
                <w:sz w:val="28"/>
                <w:szCs w:val="28"/>
                <w:color w:val="auto"/>
              </w:rPr>
              <w:t>Доход от утилизации, руб.</w:t>
            </w:r>
          </w:p>
        </w:tc>
        <w:tc>
          <w:tcPr>
            <w:tcW w:w="1140" w:type="dxa"/>
            <w:vAlign w:val="bottom"/>
            <w:tcBorders>
              <w:bottom w:val="single" w:sz="8" w:color="auto"/>
              <w:right w:val="single" w:sz="8" w:color="auto"/>
            </w:tcBorders>
          </w:tcPr>
          <w:p>
            <w:pPr>
              <w:ind w:left="100"/>
              <w:spacing w:after="0"/>
              <w:rPr>
                <w:sz w:val="20"/>
                <w:szCs w:val="20"/>
                <w:color w:val="auto"/>
              </w:rPr>
            </w:pPr>
            <w:r>
              <w:rPr>
                <w:rFonts w:ascii="Times New Roman" w:cs="Times New Roman" w:eastAsia="Times New Roman" w:hAnsi="Times New Roman"/>
                <w:sz w:val="28"/>
                <w:szCs w:val="28"/>
                <w:color w:val="auto"/>
              </w:rPr>
              <w:t>-</w:t>
            </w:r>
          </w:p>
        </w:tc>
        <w:tc>
          <w:tcPr>
            <w:tcW w:w="980" w:type="dxa"/>
            <w:vAlign w:val="bottom"/>
            <w:tcBorders>
              <w:bottom w:val="single" w:sz="8" w:color="auto"/>
              <w:right w:val="single" w:sz="8" w:color="auto"/>
            </w:tcBorders>
          </w:tcPr>
          <w:p>
            <w:pPr>
              <w:ind w:left="80"/>
              <w:spacing w:after="0"/>
              <w:rPr>
                <w:sz w:val="20"/>
                <w:szCs w:val="20"/>
                <w:color w:val="auto"/>
              </w:rPr>
            </w:pPr>
            <w:r>
              <w:rPr>
                <w:rFonts w:ascii="Times New Roman" w:cs="Times New Roman" w:eastAsia="Times New Roman" w:hAnsi="Times New Roman"/>
                <w:sz w:val="28"/>
                <w:szCs w:val="28"/>
                <w:color w:val="auto"/>
              </w:rPr>
              <w:t>-</w:t>
            </w:r>
          </w:p>
        </w:tc>
        <w:tc>
          <w:tcPr>
            <w:tcW w:w="1000" w:type="dxa"/>
            <w:vAlign w:val="bottom"/>
            <w:tcBorders>
              <w:bottom w:val="single" w:sz="8" w:color="auto"/>
              <w:right w:val="single" w:sz="8" w:color="auto"/>
            </w:tcBorders>
          </w:tcPr>
          <w:p>
            <w:pPr>
              <w:ind w:left="100"/>
              <w:spacing w:after="0"/>
              <w:rPr>
                <w:sz w:val="20"/>
                <w:szCs w:val="20"/>
                <w:color w:val="auto"/>
              </w:rPr>
            </w:pPr>
            <w:r>
              <w:rPr>
                <w:rFonts w:ascii="Times New Roman" w:cs="Times New Roman" w:eastAsia="Times New Roman" w:hAnsi="Times New Roman"/>
                <w:sz w:val="28"/>
                <w:szCs w:val="28"/>
                <w:color w:val="auto"/>
              </w:rPr>
              <w:t>-</w:t>
            </w:r>
          </w:p>
        </w:tc>
        <w:tc>
          <w:tcPr>
            <w:tcW w:w="1000" w:type="dxa"/>
            <w:vAlign w:val="bottom"/>
            <w:tcBorders>
              <w:bottom w:val="single" w:sz="8" w:color="auto"/>
              <w:right w:val="single" w:sz="8" w:color="auto"/>
            </w:tcBorders>
          </w:tcPr>
          <w:p>
            <w:pPr>
              <w:ind w:left="80"/>
              <w:spacing w:after="0"/>
              <w:rPr>
                <w:sz w:val="20"/>
                <w:szCs w:val="20"/>
                <w:color w:val="auto"/>
              </w:rPr>
            </w:pPr>
            <w:r>
              <w:rPr>
                <w:rFonts w:ascii="Times New Roman" w:cs="Times New Roman" w:eastAsia="Times New Roman" w:hAnsi="Times New Roman"/>
                <w:sz w:val="28"/>
                <w:szCs w:val="28"/>
                <w:color w:val="auto"/>
              </w:rPr>
              <w:t>-</w:t>
            </w:r>
          </w:p>
        </w:tc>
        <w:tc>
          <w:tcPr>
            <w:tcW w:w="980" w:type="dxa"/>
            <w:vAlign w:val="bottom"/>
            <w:tcBorders>
              <w:bottom w:val="single" w:sz="8" w:color="auto"/>
              <w:right w:val="single" w:sz="8" w:color="auto"/>
            </w:tcBorders>
          </w:tcPr>
          <w:p>
            <w:pPr>
              <w:ind w:left="80"/>
              <w:spacing w:after="0"/>
              <w:rPr>
                <w:sz w:val="20"/>
                <w:szCs w:val="20"/>
                <w:color w:val="auto"/>
              </w:rPr>
            </w:pPr>
            <w:r>
              <w:rPr>
                <w:rFonts w:ascii="Times New Roman" w:cs="Times New Roman" w:eastAsia="Times New Roman" w:hAnsi="Times New Roman"/>
                <w:sz w:val="28"/>
                <w:szCs w:val="28"/>
                <w:color w:val="auto"/>
              </w:rPr>
              <w:t>-</w:t>
            </w:r>
          </w:p>
        </w:tc>
        <w:tc>
          <w:tcPr>
            <w:tcW w:w="960" w:type="dxa"/>
            <w:vAlign w:val="bottom"/>
            <w:tcBorders>
              <w:bottom w:val="single" w:sz="8" w:color="auto"/>
              <w:right w:val="single" w:sz="8" w:color="auto"/>
            </w:tcBorders>
          </w:tcPr>
          <w:p>
            <w:pPr>
              <w:ind w:left="100"/>
              <w:spacing w:after="0"/>
              <w:rPr>
                <w:sz w:val="20"/>
                <w:szCs w:val="20"/>
                <w:color w:val="auto"/>
              </w:rPr>
            </w:pPr>
            <w:r>
              <w:rPr>
                <w:rFonts w:ascii="Times New Roman" w:cs="Times New Roman" w:eastAsia="Times New Roman" w:hAnsi="Times New Roman"/>
                <w:sz w:val="28"/>
                <w:szCs w:val="28"/>
                <w:color w:val="auto"/>
              </w:rPr>
              <w:t>1000</w:t>
            </w:r>
          </w:p>
        </w:tc>
        <w:tc>
          <w:tcPr>
            <w:tcW w:w="0" w:type="dxa"/>
            <w:vAlign w:val="bottom"/>
          </w:tcPr>
          <w:p>
            <w:pPr>
              <w:spacing w:after="0"/>
              <w:rPr>
                <w:sz w:val="1"/>
                <w:szCs w:val="1"/>
                <w:color w:val="auto"/>
              </w:rPr>
            </w:pPr>
          </w:p>
        </w:tc>
      </w:tr>
      <w:tr>
        <w:trPr>
          <w:trHeight w:val="317"/>
        </w:trPr>
        <w:tc>
          <w:tcPr>
            <w:tcW w:w="3520" w:type="dxa"/>
            <w:vAlign w:val="bottom"/>
            <w:tcBorders>
              <w:left w:val="single" w:sz="8" w:color="auto"/>
              <w:right w:val="single" w:sz="8" w:color="auto"/>
            </w:tcBorders>
          </w:tcPr>
          <w:p>
            <w:pPr>
              <w:ind w:left="100"/>
              <w:spacing w:after="0" w:line="317" w:lineRule="exact"/>
              <w:rPr>
                <w:sz w:val="20"/>
                <w:szCs w:val="20"/>
                <w:color w:val="auto"/>
              </w:rPr>
            </w:pPr>
            <w:r>
              <w:rPr>
                <w:rFonts w:ascii="Times New Roman" w:cs="Times New Roman" w:eastAsia="Times New Roman" w:hAnsi="Times New Roman"/>
                <w:sz w:val="28"/>
                <w:szCs w:val="28"/>
                <w:color w:val="auto"/>
              </w:rPr>
              <w:t>Затраты на капитальный</w:t>
            </w:r>
          </w:p>
        </w:tc>
        <w:tc>
          <w:tcPr>
            <w:tcW w:w="1140" w:type="dxa"/>
            <w:vAlign w:val="bottom"/>
            <w:tcBorders>
              <w:right w:val="single" w:sz="8" w:color="auto"/>
            </w:tcBorders>
          </w:tcPr>
          <w:p>
            <w:pPr>
              <w:ind w:left="100"/>
              <w:spacing w:after="0" w:line="317" w:lineRule="exact"/>
              <w:rPr>
                <w:sz w:val="20"/>
                <w:szCs w:val="20"/>
                <w:color w:val="auto"/>
              </w:rPr>
            </w:pPr>
            <w:r>
              <w:rPr>
                <w:rFonts w:ascii="Times New Roman" w:cs="Times New Roman" w:eastAsia="Times New Roman" w:hAnsi="Times New Roman"/>
                <w:sz w:val="28"/>
                <w:szCs w:val="28"/>
                <w:color w:val="auto"/>
              </w:rPr>
              <w:t>20000</w:t>
            </w:r>
          </w:p>
        </w:tc>
        <w:tc>
          <w:tcPr>
            <w:tcW w:w="980" w:type="dxa"/>
            <w:vAlign w:val="bottom"/>
            <w:tcBorders>
              <w:right w:val="single" w:sz="8" w:color="auto"/>
            </w:tcBorders>
          </w:tcPr>
          <w:p>
            <w:pPr>
              <w:spacing w:after="0"/>
              <w:rPr>
                <w:sz w:val="24"/>
                <w:szCs w:val="24"/>
                <w:color w:val="auto"/>
              </w:rPr>
            </w:pPr>
          </w:p>
        </w:tc>
        <w:tc>
          <w:tcPr>
            <w:tcW w:w="1000" w:type="dxa"/>
            <w:vAlign w:val="bottom"/>
            <w:tcBorders>
              <w:right w:val="single" w:sz="8" w:color="auto"/>
            </w:tcBorders>
          </w:tcPr>
          <w:p>
            <w:pPr>
              <w:spacing w:after="0"/>
              <w:rPr>
                <w:sz w:val="24"/>
                <w:szCs w:val="24"/>
                <w:color w:val="auto"/>
              </w:rPr>
            </w:pPr>
          </w:p>
        </w:tc>
        <w:tc>
          <w:tcPr>
            <w:tcW w:w="1000" w:type="dxa"/>
            <w:vAlign w:val="bottom"/>
            <w:tcBorders>
              <w:right w:val="single" w:sz="8" w:color="auto"/>
            </w:tcBorders>
          </w:tcPr>
          <w:p>
            <w:pPr>
              <w:ind w:left="80"/>
              <w:spacing w:after="0" w:line="317" w:lineRule="exact"/>
              <w:rPr>
                <w:sz w:val="20"/>
                <w:szCs w:val="20"/>
                <w:color w:val="auto"/>
              </w:rPr>
            </w:pPr>
            <w:r>
              <w:rPr>
                <w:rFonts w:ascii="Times New Roman" w:cs="Times New Roman" w:eastAsia="Times New Roman" w:hAnsi="Times New Roman"/>
                <w:sz w:val="28"/>
                <w:szCs w:val="28"/>
                <w:color w:val="auto"/>
              </w:rPr>
              <w:t>20000</w:t>
            </w:r>
          </w:p>
        </w:tc>
        <w:tc>
          <w:tcPr>
            <w:tcW w:w="980" w:type="dxa"/>
            <w:vAlign w:val="bottom"/>
            <w:tcBorders>
              <w:right w:val="single" w:sz="8" w:color="auto"/>
            </w:tcBorders>
          </w:tcPr>
          <w:p>
            <w:pPr>
              <w:spacing w:after="0"/>
              <w:rPr>
                <w:sz w:val="24"/>
                <w:szCs w:val="24"/>
                <w:color w:val="auto"/>
              </w:rPr>
            </w:pPr>
          </w:p>
        </w:tc>
        <w:tc>
          <w:tcPr>
            <w:tcW w:w="9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67"/>
        </w:trPr>
        <w:tc>
          <w:tcPr>
            <w:tcW w:w="3520" w:type="dxa"/>
            <w:vAlign w:val="bottom"/>
            <w:tcBorders>
              <w:left w:val="single" w:sz="8" w:color="auto"/>
              <w:bottom w:val="single" w:sz="8" w:color="auto"/>
              <w:right w:val="single" w:sz="8" w:color="auto"/>
            </w:tcBorders>
          </w:tcPr>
          <w:p>
            <w:pPr>
              <w:ind w:left="100"/>
              <w:spacing w:after="0"/>
              <w:rPr>
                <w:sz w:val="20"/>
                <w:szCs w:val="20"/>
                <w:color w:val="auto"/>
              </w:rPr>
            </w:pPr>
            <w:r>
              <w:rPr>
                <w:rFonts w:ascii="Times New Roman" w:cs="Times New Roman" w:eastAsia="Times New Roman" w:hAnsi="Times New Roman"/>
                <w:sz w:val="28"/>
                <w:szCs w:val="28"/>
                <w:color w:val="auto"/>
              </w:rPr>
              <w:t>ремонт оборудования, руб.</w:t>
            </w:r>
          </w:p>
        </w:tc>
        <w:tc>
          <w:tcPr>
            <w:tcW w:w="1140" w:type="dxa"/>
            <w:vAlign w:val="bottom"/>
            <w:tcBorders>
              <w:bottom w:val="single" w:sz="8" w:color="auto"/>
              <w:right w:val="single" w:sz="8" w:color="auto"/>
            </w:tcBorders>
          </w:tcPr>
          <w:p>
            <w:pPr>
              <w:spacing w:after="0"/>
              <w:rPr>
                <w:sz w:val="24"/>
                <w:szCs w:val="24"/>
                <w:color w:val="auto"/>
              </w:rPr>
            </w:pPr>
          </w:p>
        </w:tc>
        <w:tc>
          <w:tcPr>
            <w:tcW w:w="980" w:type="dxa"/>
            <w:vAlign w:val="bottom"/>
            <w:tcBorders>
              <w:bottom w:val="single" w:sz="8" w:color="auto"/>
              <w:right w:val="single" w:sz="8" w:color="auto"/>
            </w:tcBorders>
          </w:tcPr>
          <w:p>
            <w:pPr>
              <w:spacing w:after="0"/>
              <w:rPr>
                <w:sz w:val="24"/>
                <w:szCs w:val="24"/>
                <w:color w:val="auto"/>
              </w:rPr>
            </w:pPr>
          </w:p>
        </w:tc>
        <w:tc>
          <w:tcPr>
            <w:tcW w:w="1000" w:type="dxa"/>
            <w:vAlign w:val="bottom"/>
            <w:tcBorders>
              <w:bottom w:val="single" w:sz="8" w:color="auto"/>
              <w:right w:val="single" w:sz="8" w:color="auto"/>
            </w:tcBorders>
          </w:tcPr>
          <w:p>
            <w:pPr>
              <w:spacing w:after="0"/>
              <w:rPr>
                <w:sz w:val="24"/>
                <w:szCs w:val="24"/>
                <w:color w:val="auto"/>
              </w:rPr>
            </w:pPr>
          </w:p>
        </w:tc>
        <w:tc>
          <w:tcPr>
            <w:tcW w:w="1000" w:type="dxa"/>
            <w:vAlign w:val="bottom"/>
            <w:tcBorders>
              <w:bottom w:val="single" w:sz="8" w:color="auto"/>
              <w:right w:val="single" w:sz="8" w:color="auto"/>
            </w:tcBorders>
          </w:tcPr>
          <w:p>
            <w:pPr>
              <w:spacing w:after="0"/>
              <w:rPr>
                <w:sz w:val="24"/>
                <w:szCs w:val="24"/>
                <w:color w:val="auto"/>
              </w:rPr>
            </w:pPr>
          </w:p>
        </w:tc>
        <w:tc>
          <w:tcPr>
            <w:tcW w:w="980" w:type="dxa"/>
            <w:vAlign w:val="bottom"/>
            <w:tcBorders>
              <w:bottom w:val="single" w:sz="8" w:color="auto"/>
              <w:right w:val="single" w:sz="8" w:color="auto"/>
            </w:tcBorders>
          </w:tcPr>
          <w:p>
            <w:pPr>
              <w:spacing w:after="0"/>
              <w:rPr>
                <w:sz w:val="24"/>
                <w:szCs w:val="24"/>
                <w:color w:val="auto"/>
              </w:rPr>
            </w:pPr>
          </w:p>
        </w:tc>
        <w:tc>
          <w:tcPr>
            <w:tcW w:w="96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21"/>
        </w:trPr>
        <w:tc>
          <w:tcPr>
            <w:tcW w:w="3520" w:type="dxa"/>
            <w:vAlign w:val="bottom"/>
            <w:tcBorders>
              <w:left w:val="single" w:sz="8" w:color="auto"/>
              <w:right w:val="single" w:sz="8" w:color="auto"/>
            </w:tcBorders>
          </w:tcPr>
          <w:p>
            <w:pPr>
              <w:ind w:left="100"/>
              <w:spacing w:after="0" w:line="321" w:lineRule="exact"/>
              <w:rPr>
                <w:sz w:val="20"/>
                <w:szCs w:val="20"/>
                <w:color w:val="auto"/>
              </w:rPr>
            </w:pPr>
            <w:r>
              <w:rPr>
                <w:rFonts w:ascii="Times New Roman" w:cs="Times New Roman" w:eastAsia="Times New Roman" w:hAnsi="Times New Roman"/>
                <w:sz w:val="28"/>
                <w:szCs w:val="28"/>
                <w:color w:val="auto"/>
              </w:rPr>
              <w:t>Прогнозируемый чистый</w:t>
            </w:r>
          </w:p>
        </w:tc>
        <w:tc>
          <w:tcPr>
            <w:tcW w:w="1140" w:type="dxa"/>
            <w:vAlign w:val="bottom"/>
            <w:tcBorders>
              <w:right w:val="single" w:sz="8" w:color="auto"/>
            </w:tcBorders>
          </w:tcPr>
          <w:p>
            <w:pPr>
              <w:ind w:left="100"/>
              <w:spacing w:after="0" w:line="321" w:lineRule="exact"/>
              <w:rPr>
                <w:sz w:val="20"/>
                <w:szCs w:val="20"/>
                <w:color w:val="auto"/>
              </w:rPr>
            </w:pPr>
            <w:r>
              <w:rPr>
                <w:rFonts w:ascii="Times New Roman" w:cs="Times New Roman" w:eastAsia="Times New Roman" w:hAnsi="Times New Roman"/>
                <w:sz w:val="28"/>
                <w:szCs w:val="28"/>
                <w:color w:val="auto"/>
              </w:rPr>
              <w:t>24970</w:t>
            </w:r>
          </w:p>
        </w:tc>
        <w:tc>
          <w:tcPr>
            <w:tcW w:w="980" w:type="dxa"/>
            <w:vAlign w:val="bottom"/>
            <w:tcBorders>
              <w:right w:val="single" w:sz="8" w:color="auto"/>
            </w:tcBorders>
          </w:tcPr>
          <w:p>
            <w:pPr>
              <w:ind w:left="80"/>
              <w:spacing w:after="0" w:line="321" w:lineRule="exact"/>
              <w:rPr>
                <w:sz w:val="20"/>
                <w:szCs w:val="20"/>
                <w:color w:val="auto"/>
              </w:rPr>
            </w:pPr>
            <w:r>
              <w:rPr>
                <w:rFonts w:ascii="Times New Roman" w:cs="Times New Roman" w:eastAsia="Times New Roman" w:hAnsi="Times New Roman"/>
                <w:sz w:val="28"/>
                <w:szCs w:val="28"/>
                <w:color w:val="auto"/>
              </w:rPr>
              <w:t>43390</w:t>
            </w:r>
          </w:p>
        </w:tc>
        <w:tc>
          <w:tcPr>
            <w:tcW w:w="1000" w:type="dxa"/>
            <w:vAlign w:val="bottom"/>
            <w:tcBorders>
              <w:right w:val="single" w:sz="8" w:color="auto"/>
            </w:tcBorders>
          </w:tcPr>
          <w:p>
            <w:pPr>
              <w:ind w:left="100"/>
              <w:spacing w:after="0" w:line="321" w:lineRule="exact"/>
              <w:rPr>
                <w:sz w:val="20"/>
                <w:szCs w:val="20"/>
                <w:color w:val="auto"/>
              </w:rPr>
            </w:pPr>
            <w:r>
              <w:rPr>
                <w:rFonts w:ascii="Times New Roman" w:cs="Times New Roman" w:eastAsia="Times New Roman" w:hAnsi="Times New Roman"/>
                <w:sz w:val="28"/>
                <w:szCs w:val="28"/>
                <w:color w:val="auto"/>
              </w:rPr>
              <w:t>41880</w:t>
            </w:r>
          </w:p>
        </w:tc>
        <w:tc>
          <w:tcPr>
            <w:tcW w:w="1000" w:type="dxa"/>
            <w:vAlign w:val="bottom"/>
            <w:tcBorders>
              <w:right w:val="single" w:sz="8" w:color="auto"/>
            </w:tcBorders>
          </w:tcPr>
          <w:p>
            <w:pPr>
              <w:ind w:left="80"/>
              <w:spacing w:after="0" w:line="321" w:lineRule="exact"/>
              <w:rPr>
                <w:sz w:val="20"/>
                <w:szCs w:val="20"/>
                <w:color w:val="auto"/>
              </w:rPr>
            </w:pPr>
            <w:r>
              <w:rPr>
                <w:rFonts w:ascii="Times New Roman" w:cs="Times New Roman" w:eastAsia="Times New Roman" w:hAnsi="Times New Roman"/>
                <w:sz w:val="28"/>
                <w:szCs w:val="28"/>
                <w:color w:val="auto"/>
              </w:rPr>
              <w:t>20410</w:t>
            </w:r>
          </w:p>
        </w:tc>
        <w:tc>
          <w:tcPr>
            <w:tcW w:w="980" w:type="dxa"/>
            <w:vAlign w:val="bottom"/>
            <w:tcBorders>
              <w:right w:val="single" w:sz="8" w:color="auto"/>
            </w:tcBorders>
          </w:tcPr>
          <w:p>
            <w:pPr>
              <w:ind w:left="80"/>
              <w:spacing w:after="0" w:line="321" w:lineRule="exact"/>
              <w:rPr>
                <w:sz w:val="20"/>
                <w:szCs w:val="20"/>
                <w:color w:val="auto"/>
              </w:rPr>
            </w:pPr>
            <w:r>
              <w:rPr>
                <w:rFonts w:ascii="Times New Roman" w:cs="Times New Roman" w:eastAsia="Times New Roman" w:hAnsi="Times New Roman"/>
                <w:sz w:val="28"/>
                <w:szCs w:val="28"/>
                <w:color w:val="auto"/>
              </w:rPr>
              <w:t>39000</w:t>
            </w:r>
          </w:p>
        </w:tc>
        <w:tc>
          <w:tcPr>
            <w:tcW w:w="960" w:type="dxa"/>
            <w:vAlign w:val="bottom"/>
            <w:tcBorders>
              <w:right w:val="single" w:sz="8" w:color="auto"/>
            </w:tcBorders>
          </w:tcPr>
          <w:p>
            <w:pPr>
              <w:ind w:left="100"/>
              <w:spacing w:after="0" w:line="321" w:lineRule="exact"/>
              <w:rPr>
                <w:sz w:val="20"/>
                <w:szCs w:val="20"/>
                <w:color w:val="auto"/>
              </w:rPr>
            </w:pPr>
            <w:r>
              <w:rPr>
                <w:rFonts w:ascii="Times New Roman" w:cs="Times New Roman" w:eastAsia="Times New Roman" w:hAnsi="Times New Roman"/>
                <w:sz w:val="28"/>
                <w:szCs w:val="28"/>
                <w:color w:val="auto"/>
              </w:rPr>
              <w:t>38630</w:t>
            </w:r>
          </w:p>
        </w:tc>
        <w:tc>
          <w:tcPr>
            <w:tcW w:w="0" w:type="dxa"/>
            <w:vAlign w:val="bottom"/>
          </w:tcPr>
          <w:p>
            <w:pPr>
              <w:spacing w:after="0"/>
              <w:rPr>
                <w:sz w:val="1"/>
                <w:szCs w:val="1"/>
                <w:color w:val="auto"/>
              </w:rPr>
            </w:pPr>
          </w:p>
        </w:tc>
      </w:tr>
      <w:tr>
        <w:trPr>
          <w:trHeight w:val="349"/>
        </w:trPr>
        <w:tc>
          <w:tcPr>
            <w:tcW w:w="3520" w:type="dxa"/>
            <w:vAlign w:val="bottom"/>
            <w:tcBorders>
              <w:left w:val="single" w:sz="8" w:color="auto"/>
              <w:right w:val="single" w:sz="8" w:color="auto"/>
            </w:tcBorders>
          </w:tcPr>
          <w:p>
            <w:pPr>
              <w:ind w:left="100"/>
              <w:spacing w:after="0"/>
              <w:rPr>
                <w:sz w:val="20"/>
                <w:szCs w:val="20"/>
                <w:color w:val="auto"/>
              </w:rPr>
            </w:pPr>
            <w:r>
              <w:rPr>
                <w:rFonts w:ascii="Times New Roman" w:cs="Times New Roman" w:eastAsia="Times New Roman" w:hAnsi="Times New Roman"/>
                <w:sz w:val="28"/>
                <w:szCs w:val="28"/>
                <w:color w:val="auto"/>
              </w:rPr>
              <w:t>доход с учетом затрат на</w:t>
            </w:r>
          </w:p>
        </w:tc>
        <w:tc>
          <w:tcPr>
            <w:tcW w:w="1140" w:type="dxa"/>
            <w:vAlign w:val="bottom"/>
            <w:tcBorders>
              <w:right w:val="single" w:sz="8" w:color="auto"/>
            </w:tcBorders>
          </w:tcPr>
          <w:p>
            <w:pPr>
              <w:spacing w:after="0"/>
              <w:rPr>
                <w:sz w:val="24"/>
                <w:szCs w:val="24"/>
                <w:color w:val="auto"/>
              </w:rPr>
            </w:pPr>
          </w:p>
        </w:tc>
        <w:tc>
          <w:tcPr>
            <w:tcW w:w="980" w:type="dxa"/>
            <w:vAlign w:val="bottom"/>
            <w:tcBorders>
              <w:right w:val="single" w:sz="8" w:color="auto"/>
            </w:tcBorders>
          </w:tcPr>
          <w:p>
            <w:pPr>
              <w:spacing w:after="0"/>
              <w:rPr>
                <w:sz w:val="24"/>
                <w:szCs w:val="24"/>
                <w:color w:val="auto"/>
              </w:rPr>
            </w:pPr>
          </w:p>
        </w:tc>
        <w:tc>
          <w:tcPr>
            <w:tcW w:w="1000" w:type="dxa"/>
            <w:vAlign w:val="bottom"/>
            <w:tcBorders>
              <w:right w:val="single" w:sz="8" w:color="auto"/>
            </w:tcBorders>
          </w:tcPr>
          <w:p>
            <w:pPr>
              <w:spacing w:after="0"/>
              <w:rPr>
                <w:sz w:val="24"/>
                <w:szCs w:val="24"/>
                <w:color w:val="auto"/>
              </w:rPr>
            </w:pPr>
          </w:p>
        </w:tc>
        <w:tc>
          <w:tcPr>
            <w:tcW w:w="1000" w:type="dxa"/>
            <w:vAlign w:val="bottom"/>
            <w:tcBorders>
              <w:right w:val="single" w:sz="8" w:color="auto"/>
            </w:tcBorders>
          </w:tcPr>
          <w:p>
            <w:pPr>
              <w:spacing w:after="0"/>
              <w:rPr>
                <w:sz w:val="24"/>
                <w:szCs w:val="24"/>
                <w:color w:val="auto"/>
              </w:rPr>
            </w:pPr>
          </w:p>
        </w:tc>
        <w:tc>
          <w:tcPr>
            <w:tcW w:w="980" w:type="dxa"/>
            <w:vAlign w:val="bottom"/>
            <w:tcBorders>
              <w:right w:val="single" w:sz="8" w:color="auto"/>
            </w:tcBorders>
          </w:tcPr>
          <w:p>
            <w:pPr>
              <w:spacing w:after="0"/>
              <w:rPr>
                <w:sz w:val="24"/>
                <w:szCs w:val="24"/>
                <w:color w:val="auto"/>
              </w:rPr>
            </w:pPr>
          </w:p>
        </w:tc>
        <w:tc>
          <w:tcPr>
            <w:tcW w:w="9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67"/>
        </w:trPr>
        <w:tc>
          <w:tcPr>
            <w:tcW w:w="3520" w:type="dxa"/>
            <w:vAlign w:val="bottom"/>
            <w:tcBorders>
              <w:left w:val="single" w:sz="8" w:color="auto"/>
              <w:bottom w:val="single" w:sz="8" w:color="auto"/>
              <w:right w:val="single" w:sz="8" w:color="auto"/>
            </w:tcBorders>
          </w:tcPr>
          <w:p>
            <w:pPr>
              <w:ind w:left="100"/>
              <w:spacing w:after="0"/>
              <w:rPr>
                <w:sz w:val="20"/>
                <w:szCs w:val="20"/>
                <w:color w:val="auto"/>
              </w:rPr>
            </w:pPr>
            <w:r>
              <w:rPr>
                <w:rFonts w:ascii="Times New Roman" w:cs="Times New Roman" w:eastAsia="Times New Roman" w:hAnsi="Times New Roman"/>
                <w:sz w:val="28"/>
                <w:szCs w:val="28"/>
                <w:color w:val="auto"/>
              </w:rPr>
              <w:t>капитальный ремонт, руб.</w:t>
            </w:r>
          </w:p>
        </w:tc>
        <w:tc>
          <w:tcPr>
            <w:tcW w:w="1140" w:type="dxa"/>
            <w:vAlign w:val="bottom"/>
            <w:tcBorders>
              <w:bottom w:val="single" w:sz="8" w:color="auto"/>
              <w:right w:val="single" w:sz="8" w:color="auto"/>
            </w:tcBorders>
          </w:tcPr>
          <w:p>
            <w:pPr>
              <w:spacing w:after="0"/>
              <w:rPr>
                <w:sz w:val="24"/>
                <w:szCs w:val="24"/>
                <w:color w:val="auto"/>
              </w:rPr>
            </w:pPr>
          </w:p>
        </w:tc>
        <w:tc>
          <w:tcPr>
            <w:tcW w:w="980" w:type="dxa"/>
            <w:vAlign w:val="bottom"/>
            <w:tcBorders>
              <w:bottom w:val="single" w:sz="8" w:color="auto"/>
              <w:right w:val="single" w:sz="8" w:color="auto"/>
            </w:tcBorders>
          </w:tcPr>
          <w:p>
            <w:pPr>
              <w:spacing w:after="0"/>
              <w:rPr>
                <w:sz w:val="24"/>
                <w:szCs w:val="24"/>
                <w:color w:val="auto"/>
              </w:rPr>
            </w:pPr>
          </w:p>
        </w:tc>
        <w:tc>
          <w:tcPr>
            <w:tcW w:w="1000" w:type="dxa"/>
            <w:vAlign w:val="bottom"/>
            <w:tcBorders>
              <w:bottom w:val="single" w:sz="8" w:color="auto"/>
              <w:right w:val="single" w:sz="8" w:color="auto"/>
            </w:tcBorders>
          </w:tcPr>
          <w:p>
            <w:pPr>
              <w:spacing w:after="0"/>
              <w:rPr>
                <w:sz w:val="24"/>
                <w:szCs w:val="24"/>
                <w:color w:val="auto"/>
              </w:rPr>
            </w:pPr>
          </w:p>
        </w:tc>
        <w:tc>
          <w:tcPr>
            <w:tcW w:w="1000" w:type="dxa"/>
            <w:vAlign w:val="bottom"/>
            <w:tcBorders>
              <w:bottom w:val="single" w:sz="8" w:color="auto"/>
              <w:right w:val="single" w:sz="8" w:color="auto"/>
            </w:tcBorders>
          </w:tcPr>
          <w:p>
            <w:pPr>
              <w:spacing w:after="0"/>
              <w:rPr>
                <w:sz w:val="24"/>
                <w:szCs w:val="24"/>
                <w:color w:val="auto"/>
              </w:rPr>
            </w:pPr>
          </w:p>
        </w:tc>
        <w:tc>
          <w:tcPr>
            <w:tcW w:w="980" w:type="dxa"/>
            <w:vAlign w:val="bottom"/>
            <w:tcBorders>
              <w:bottom w:val="single" w:sz="8" w:color="auto"/>
              <w:right w:val="single" w:sz="8" w:color="auto"/>
            </w:tcBorders>
          </w:tcPr>
          <w:p>
            <w:pPr>
              <w:spacing w:after="0"/>
              <w:rPr>
                <w:sz w:val="24"/>
                <w:szCs w:val="24"/>
                <w:color w:val="auto"/>
              </w:rPr>
            </w:pPr>
          </w:p>
        </w:tc>
        <w:tc>
          <w:tcPr>
            <w:tcW w:w="96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20"/>
        </w:trPr>
        <w:tc>
          <w:tcPr>
            <w:tcW w:w="3520" w:type="dxa"/>
            <w:vAlign w:val="bottom"/>
            <w:tcBorders>
              <w:left w:val="single" w:sz="8" w:color="auto"/>
              <w:right w:val="single" w:sz="8" w:color="auto"/>
            </w:tcBorders>
          </w:tcPr>
          <w:p>
            <w:pPr>
              <w:ind w:left="100"/>
              <w:spacing w:after="0" w:line="320" w:lineRule="exact"/>
              <w:rPr>
                <w:sz w:val="20"/>
                <w:szCs w:val="20"/>
                <w:color w:val="auto"/>
              </w:rPr>
            </w:pPr>
            <w:r>
              <w:rPr>
                <w:rFonts w:ascii="Times New Roman" w:cs="Times New Roman" w:eastAsia="Times New Roman" w:hAnsi="Times New Roman"/>
                <w:sz w:val="28"/>
                <w:szCs w:val="28"/>
                <w:color w:val="auto"/>
              </w:rPr>
              <w:t>Дисконтированный чистый</w:t>
            </w:r>
          </w:p>
        </w:tc>
        <w:tc>
          <w:tcPr>
            <w:tcW w:w="1140" w:type="dxa"/>
            <w:vAlign w:val="bottom"/>
            <w:tcBorders>
              <w:right w:val="single" w:sz="8" w:color="auto"/>
            </w:tcBorders>
          </w:tcPr>
          <w:p>
            <w:pPr>
              <w:ind w:left="100"/>
              <w:spacing w:after="0" w:line="320" w:lineRule="exact"/>
              <w:rPr>
                <w:sz w:val="20"/>
                <w:szCs w:val="20"/>
                <w:color w:val="auto"/>
              </w:rPr>
            </w:pPr>
            <w:r>
              <w:rPr>
                <w:rFonts w:ascii="Times New Roman" w:cs="Times New Roman" w:eastAsia="Times New Roman" w:hAnsi="Times New Roman"/>
                <w:sz w:val="28"/>
                <w:szCs w:val="28"/>
                <w:color w:val="auto"/>
              </w:rPr>
              <w:t>21520</w:t>
            </w:r>
          </w:p>
        </w:tc>
        <w:tc>
          <w:tcPr>
            <w:tcW w:w="980" w:type="dxa"/>
            <w:vAlign w:val="bottom"/>
            <w:tcBorders>
              <w:right w:val="single" w:sz="8" w:color="auto"/>
            </w:tcBorders>
          </w:tcPr>
          <w:p>
            <w:pPr>
              <w:ind w:left="80"/>
              <w:spacing w:after="0" w:line="320" w:lineRule="exact"/>
              <w:rPr>
                <w:sz w:val="20"/>
                <w:szCs w:val="20"/>
                <w:color w:val="auto"/>
              </w:rPr>
            </w:pPr>
            <w:r>
              <w:rPr>
                <w:rFonts w:ascii="Times New Roman" w:cs="Times New Roman" w:eastAsia="Times New Roman" w:hAnsi="Times New Roman"/>
                <w:sz w:val="28"/>
                <w:szCs w:val="28"/>
                <w:color w:val="auto"/>
              </w:rPr>
              <w:t>32240</w:t>
            </w:r>
          </w:p>
        </w:tc>
        <w:tc>
          <w:tcPr>
            <w:tcW w:w="1000" w:type="dxa"/>
            <w:vAlign w:val="bottom"/>
            <w:tcBorders>
              <w:right w:val="single" w:sz="8" w:color="auto"/>
            </w:tcBorders>
          </w:tcPr>
          <w:p>
            <w:pPr>
              <w:ind w:left="100"/>
              <w:spacing w:after="0" w:line="320" w:lineRule="exact"/>
              <w:rPr>
                <w:sz w:val="20"/>
                <w:szCs w:val="20"/>
                <w:color w:val="auto"/>
              </w:rPr>
            </w:pPr>
            <w:r>
              <w:rPr>
                <w:rFonts w:ascii="Times New Roman" w:cs="Times New Roman" w:eastAsia="Times New Roman" w:hAnsi="Times New Roman"/>
                <w:sz w:val="28"/>
                <w:szCs w:val="28"/>
                <w:color w:val="auto"/>
              </w:rPr>
              <w:t>26950</w:t>
            </w:r>
          </w:p>
        </w:tc>
        <w:tc>
          <w:tcPr>
            <w:tcW w:w="1000" w:type="dxa"/>
            <w:vAlign w:val="bottom"/>
            <w:tcBorders>
              <w:right w:val="single" w:sz="8" w:color="auto"/>
            </w:tcBorders>
          </w:tcPr>
          <w:p>
            <w:pPr>
              <w:ind w:left="80"/>
              <w:spacing w:after="0" w:line="320" w:lineRule="exact"/>
              <w:rPr>
                <w:sz w:val="20"/>
                <w:szCs w:val="20"/>
                <w:color w:val="auto"/>
              </w:rPr>
            </w:pPr>
            <w:r>
              <w:rPr>
                <w:rFonts w:ascii="Times New Roman" w:cs="Times New Roman" w:eastAsia="Times New Roman" w:hAnsi="Times New Roman"/>
                <w:sz w:val="28"/>
                <w:szCs w:val="28"/>
                <w:color w:val="auto"/>
              </w:rPr>
              <w:t>11270</w:t>
            </w:r>
          </w:p>
        </w:tc>
        <w:tc>
          <w:tcPr>
            <w:tcW w:w="980" w:type="dxa"/>
            <w:vAlign w:val="bottom"/>
            <w:tcBorders>
              <w:right w:val="single" w:sz="8" w:color="auto"/>
            </w:tcBorders>
          </w:tcPr>
          <w:p>
            <w:pPr>
              <w:ind w:left="80"/>
              <w:spacing w:after="0" w:line="320" w:lineRule="exact"/>
              <w:rPr>
                <w:sz w:val="20"/>
                <w:szCs w:val="20"/>
                <w:color w:val="auto"/>
              </w:rPr>
            </w:pPr>
            <w:r>
              <w:rPr>
                <w:rFonts w:ascii="Times New Roman" w:cs="Times New Roman" w:eastAsia="Times New Roman" w:hAnsi="Times New Roman"/>
                <w:sz w:val="28"/>
                <w:szCs w:val="28"/>
                <w:color w:val="auto"/>
              </w:rPr>
              <w:t>18570</w:t>
            </w:r>
          </w:p>
        </w:tc>
        <w:tc>
          <w:tcPr>
            <w:tcW w:w="960" w:type="dxa"/>
            <w:vAlign w:val="bottom"/>
            <w:tcBorders>
              <w:right w:val="single" w:sz="8" w:color="auto"/>
            </w:tcBorders>
          </w:tcPr>
          <w:p>
            <w:pPr>
              <w:ind w:left="100"/>
              <w:spacing w:after="0" w:line="320" w:lineRule="exact"/>
              <w:rPr>
                <w:sz w:val="20"/>
                <w:szCs w:val="20"/>
                <w:color w:val="auto"/>
              </w:rPr>
            </w:pPr>
            <w:r>
              <w:rPr>
                <w:rFonts w:ascii="Times New Roman" w:cs="Times New Roman" w:eastAsia="Times New Roman" w:hAnsi="Times New Roman"/>
                <w:sz w:val="28"/>
                <w:szCs w:val="28"/>
                <w:color w:val="auto"/>
              </w:rPr>
              <w:t>15850</w:t>
            </w:r>
          </w:p>
        </w:tc>
        <w:tc>
          <w:tcPr>
            <w:tcW w:w="0" w:type="dxa"/>
            <w:vAlign w:val="bottom"/>
          </w:tcPr>
          <w:p>
            <w:pPr>
              <w:spacing w:after="0"/>
              <w:rPr>
                <w:sz w:val="1"/>
                <w:szCs w:val="1"/>
                <w:color w:val="auto"/>
              </w:rPr>
            </w:pPr>
          </w:p>
        </w:tc>
      </w:tr>
      <w:tr>
        <w:trPr>
          <w:trHeight w:val="367"/>
        </w:trPr>
        <w:tc>
          <w:tcPr>
            <w:tcW w:w="3520" w:type="dxa"/>
            <w:vAlign w:val="bottom"/>
            <w:tcBorders>
              <w:left w:val="single" w:sz="8" w:color="auto"/>
              <w:bottom w:val="single" w:sz="8" w:color="auto"/>
              <w:right w:val="single" w:sz="8" w:color="auto"/>
            </w:tcBorders>
          </w:tcPr>
          <w:p>
            <w:pPr>
              <w:ind w:left="100"/>
              <w:spacing w:after="0"/>
              <w:rPr>
                <w:sz w:val="20"/>
                <w:szCs w:val="20"/>
                <w:color w:val="auto"/>
              </w:rPr>
            </w:pPr>
            <w:r>
              <w:rPr>
                <w:rFonts w:ascii="Times New Roman" w:cs="Times New Roman" w:eastAsia="Times New Roman" w:hAnsi="Times New Roman"/>
                <w:sz w:val="28"/>
                <w:szCs w:val="28"/>
                <w:color w:val="auto"/>
              </w:rPr>
              <w:t>доход, руб.</w:t>
            </w:r>
          </w:p>
        </w:tc>
        <w:tc>
          <w:tcPr>
            <w:tcW w:w="1140" w:type="dxa"/>
            <w:vAlign w:val="bottom"/>
            <w:tcBorders>
              <w:bottom w:val="single" w:sz="8" w:color="auto"/>
              <w:right w:val="single" w:sz="8" w:color="auto"/>
            </w:tcBorders>
          </w:tcPr>
          <w:p>
            <w:pPr>
              <w:spacing w:after="0"/>
              <w:rPr>
                <w:sz w:val="24"/>
                <w:szCs w:val="24"/>
                <w:color w:val="auto"/>
              </w:rPr>
            </w:pPr>
          </w:p>
        </w:tc>
        <w:tc>
          <w:tcPr>
            <w:tcW w:w="980" w:type="dxa"/>
            <w:vAlign w:val="bottom"/>
            <w:tcBorders>
              <w:bottom w:val="single" w:sz="8" w:color="auto"/>
              <w:right w:val="single" w:sz="8" w:color="auto"/>
            </w:tcBorders>
          </w:tcPr>
          <w:p>
            <w:pPr>
              <w:spacing w:after="0"/>
              <w:rPr>
                <w:sz w:val="24"/>
                <w:szCs w:val="24"/>
                <w:color w:val="auto"/>
              </w:rPr>
            </w:pPr>
          </w:p>
        </w:tc>
        <w:tc>
          <w:tcPr>
            <w:tcW w:w="1000" w:type="dxa"/>
            <w:vAlign w:val="bottom"/>
            <w:tcBorders>
              <w:bottom w:val="single" w:sz="8" w:color="auto"/>
              <w:right w:val="single" w:sz="8" w:color="auto"/>
            </w:tcBorders>
          </w:tcPr>
          <w:p>
            <w:pPr>
              <w:spacing w:after="0"/>
              <w:rPr>
                <w:sz w:val="24"/>
                <w:szCs w:val="24"/>
                <w:color w:val="auto"/>
              </w:rPr>
            </w:pPr>
          </w:p>
        </w:tc>
        <w:tc>
          <w:tcPr>
            <w:tcW w:w="1000" w:type="dxa"/>
            <w:vAlign w:val="bottom"/>
            <w:tcBorders>
              <w:bottom w:val="single" w:sz="8" w:color="auto"/>
              <w:right w:val="single" w:sz="8" w:color="auto"/>
            </w:tcBorders>
          </w:tcPr>
          <w:p>
            <w:pPr>
              <w:spacing w:after="0"/>
              <w:rPr>
                <w:sz w:val="24"/>
                <w:szCs w:val="24"/>
                <w:color w:val="auto"/>
              </w:rPr>
            </w:pPr>
          </w:p>
        </w:tc>
        <w:tc>
          <w:tcPr>
            <w:tcW w:w="980" w:type="dxa"/>
            <w:vAlign w:val="bottom"/>
            <w:tcBorders>
              <w:bottom w:val="single" w:sz="8" w:color="auto"/>
              <w:right w:val="single" w:sz="8" w:color="auto"/>
            </w:tcBorders>
          </w:tcPr>
          <w:p>
            <w:pPr>
              <w:spacing w:after="0"/>
              <w:rPr>
                <w:sz w:val="24"/>
                <w:szCs w:val="24"/>
                <w:color w:val="auto"/>
              </w:rPr>
            </w:pPr>
          </w:p>
        </w:tc>
        <w:tc>
          <w:tcPr>
            <w:tcW w:w="96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21"/>
        </w:trPr>
        <w:tc>
          <w:tcPr>
            <w:tcW w:w="3520" w:type="dxa"/>
            <w:vAlign w:val="bottom"/>
            <w:tcBorders>
              <w:left w:val="single" w:sz="8" w:color="auto"/>
              <w:right w:val="single" w:sz="8" w:color="auto"/>
            </w:tcBorders>
          </w:tcPr>
          <w:p>
            <w:pPr>
              <w:ind w:left="100"/>
              <w:spacing w:after="0" w:line="321" w:lineRule="exact"/>
              <w:rPr>
                <w:sz w:val="20"/>
                <w:szCs w:val="20"/>
                <w:color w:val="auto"/>
              </w:rPr>
            </w:pPr>
            <w:r>
              <w:rPr>
                <w:rFonts w:ascii="Times New Roman" w:cs="Times New Roman" w:eastAsia="Times New Roman" w:hAnsi="Times New Roman"/>
                <w:sz w:val="28"/>
                <w:szCs w:val="28"/>
                <w:color w:val="auto"/>
              </w:rPr>
              <w:t>Текущая остаточная</w:t>
            </w:r>
          </w:p>
        </w:tc>
        <w:tc>
          <w:tcPr>
            <w:tcW w:w="1140" w:type="dxa"/>
            <w:vAlign w:val="bottom"/>
            <w:tcBorders>
              <w:right w:val="single" w:sz="8" w:color="auto"/>
            </w:tcBorders>
          </w:tcPr>
          <w:p>
            <w:pPr>
              <w:ind w:left="100"/>
              <w:spacing w:after="0" w:line="321" w:lineRule="exact"/>
              <w:rPr>
                <w:sz w:val="20"/>
                <w:szCs w:val="20"/>
                <w:color w:val="auto"/>
              </w:rPr>
            </w:pPr>
            <w:r>
              <w:rPr>
                <w:rFonts w:ascii="Times New Roman" w:cs="Times New Roman" w:eastAsia="Times New Roman" w:hAnsi="Times New Roman"/>
                <w:sz w:val="28"/>
                <w:szCs w:val="28"/>
                <w:color w:val="auto"/>
              </w:rPr>
              <w:t>126400</w:t>
            </w:r>
          </w:p>
        </w:tc>
        <w:tc>
          <w:tcPr>
            <w:tcW w:w="980" w:type="dxa"/>
            <w:vAlign w:val="bottom"/>
            <w:tcBorders>
              <w:right w:val="single" w:sz="8" w:color="auto"/>
            </w:tcBorders>
          </w:tcPr>
          <w:p>
            <w:pPr>
              <w:spacing w:after="0"/>
              <w:rPr>
                <w:sz w:val="24"/>
                <w:szCs w:val="24"/>
                <w:color w:val="auto"/>
              </w:rPr>
            </w:pPr>
          </w:p>
        </w:tc>
        <w:tc>
          <w:tcPr>
            <w:tcW w:w="1000" w:type="dxa"/>
            <w:vAlign w:val="bottom"/>
            <w:tcBorders>
              <w:right w:val="single" w:sz="8" w:color="auto"/>
            </w:tcBorders>
          </w:tcPr>
          <w:p>
            <w:pPr>
              <w:spacing w:after="0"/>
              <w:rPr>
                <w:sz w:val="24"/>
                <w:szCs w:val="24"/>
                <w:color w:val="auto"/>
              </w:rPr>
            </w:pPr>
          </w:p>
        </w:tc>
        <w:tc>
          <w:tcPr>
            <w:tcW w:w="1000" w:type="dxa"/>
            <w:vAlign w:val="bottom"/>
            <w:tcBorders>
              <w:right w:val="single" w:sz="8" w:color="auto"/>
            </w:tcBorders>
          </w:tcPr>
          <w:p>
            <w:pPr>
              <w:spacing w:after="0"/>
              <w:rPr>
                <w:sz w:val="24"/>
                <w:szCs w:val="24"/>
                <w:color w:val="auto"/>
              </w:rPr>
            </w:pPr>
          </w:p>
        </w:tc>
        <w:tc>
          <w:tcPr>
            <w:tcW w:w="980" w:type="dxa"/>
            <w:vAlign w:val="bottom"/>
            <w:tcBorders>
              <w:right w:val="single" w:sz="8" w:color="auto"/>
            </w:tcBorders>
          </w:tcPr>
          <w:p>
            <w:pPr>
              <w:spacing w:after="0"/>
              <w:rPr>
                <w:sz w:val="24"/>
                <w:szCs w:val="24"/>
                <w:color w:val="auto"/>
              </w:rPr>
            </w:pPr>
          </w:p>
        </w:tc>
        <w:tc>
          <w:tcPr>
            <w:tcW w:w="9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49"/>
        </w:trPr>
        <w:tc>
          <w:tcPr>
            <w:tcW w:w="3520" w:type="dxa"/>
            <w:vAlign w:val="bottom"/>
            <w:tcBorders>
              <w:left w:val="single" w:sz="8" w:color="auto"/>
              <w:right w:val="single" w:sz="8" w:color="auto"/>
            </w:tcBorders>
          </w:tcPr>
          <w:p>
            <w:pPr>
              <w:ind w:left="100"/>
              <w:spacing w:after="0"/>
              <w:rPr>
                <w:sz w:val="20"/>
                <w:szCs w:val="20"/>
                <w:color w:val="auto"/>
              </w:rPr>
            </w:pPr>
            <w:r>
              <w:rPr>
                <w:rFonts w:ascii="Times New Roman" w:cs="Times New Roman" w:eastAsia="Times New Roman" w:hAnsi="Times New Roman"/>
                <w:sz w:val="28"/>
                <w:szCs w:val="28"/>
                <w:color w:val="auto"/>
              </w:rPr>
              <w:t>стоимость как сумма</w:t>
            </w:r>
          </w:p>
        </w:tc>
        <w:tc>
          <w:tcPr>
            <w:tcW w:w="1140" w:type="dxa"/>
            <w:vAlign w:val="bottom"/>
            <w:tcBorders>
              <w:right w:val="single" w:sz="8" w:color="auto"/>
            </w:tcBorders>
          </w:tcPr>
          <w:p>
            <w:pPr>
              <w:spacing w:after="0"/>
              <w:rPr>
                <w:sz w:val="24"/>
                <w:szCs w:val="24"/>
                <w:color w:val="auto"/>
              </w:rPr>
            </w:pPr>
          </w:p>
        </w:tc>
        <w:tc>
          <w:tcPr>
            <w:tcW w:w="980" w:type="dxa"/>
            <w:vAlign w:val="bottom"/>
            <w:tcBorders>
              <w:right w:val="single" w:sz="8" w:color="auto"/>
            </w:tcBorders>
          </w:tcPr>
          <w:p>
            <w:pPr>
              <w:spacing w:after="0"/>
              <w:rPr>
                <w:sz w:val="24"/>
                <w:szCs w:val="24"/>
                <w:color w:val="auto"/>
              </w:rPr>
            </w:pPr>
          </w:p>
        </w:tc>
        <w:tc>
          <w:tcPr>
            <w:tcW w:w="1000" w:type="dxa"/>
            <w:vAlign w:val="bottom"/>
            <w:tcBorders>
              <w:right w:val="single" w:sz="8" w:color="auto"/>
            </w:tcBorders>
          </w:tcPr>
          <w:p>
            <w:pPr>
              <w:spacing w:after="0"/>
              <w:rPr>
                <w:sz w:val="24"/>
                <w:szCs w:val="24"/>
                <w:color w:val="auto"/>
              </w:rPr>
            </w:pPr>
          </w:p>
        </w:tc>
        <w:tc>
          <w:tcPr>
            <w:tcW w:w="1000" w:type="dxa"/>
            <w:vAlign w:val="bottom"/>
            <w:tcBorders>
              <w:right w:val="single" w:sz="8" w:color="auto"/>
            </w:tcBorders>
          </w:tcPr>
          <w:p>
            <w:pPr>
              <w:spacing w:after="0"/>
              <w:rPr>
                <w:sz w:val="24"/>
                <w:szCs w:val="24"/>
                <w:color w:val="auto"/>
              </w:rPr>
            </w:pPr>
          </w:p>
        </w:tc>
        <w:tc>
          <w:tcPr>
            <w:tcW w:w="980" w:type="dxa"/>
            <w:vAlign w:val="bottom"/>
            <w:tcBorders>
              <w:right w:val="single" w:sz="8" w:color="auto"/>
            </w:tcBorders>
          </w:tcPr>
          <w:p>
            <w:pPr>
              <w:spacing w:after="0"/>
              <w:rPr>
                <w:sz w:val="24"/>
                <w:szCs w:val="24"/>
                <w:color w:val="auto"/>
              </w:rPr>
            </w:pPr>
          </w:p>
        </w:tc>
        <w:tc>
          <w:tcPr>
            <w:tcW w:w="9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48"/>
        </w:trPr>
        <w:tc>
          <w:tcPr>
            <w:tcW w:w="3520" w:type="dxa"/>
            <w:vAlign w:val="bottom"/>
            <w:tcBorders>
              <w:left w:val="single" w:sz="8" w:color="auto"/>
              <w:right w:val="single" w:sz="8" w:color="auto"/>
            </w:tcBorders>
          </w:tcPr>
          <w:p>
            <w:pPr>
              <w:ind w:left="100"/>
              <w:spacing w:after="0"/>
              <w:rPr>
                <w:sz w:val="20"/>
                <w:szCs w:val="20"/>
                <w:color w:val="auto"/>
              </w:rPr>
            </w:pPr>
            <w:r>
              <w:rPr>
                <w:rFonts w:ascii="Times New Roman" w:cs="Times New Roman" w:eastAsia="Times New Roman" w:hAnsi="Times New Roman"/>
                <w:sz w:val="28"/>
                <w:szCs w:val="28"/>
                <w:color w:val="auto"/>
              </w:rPr>
              <w:t>дисконтированных чистых</w:t>
            </w:r>
          </w:p>
        </w:tc>
        <w:tc>
          <w:tcPr>
            <w:tcW w:w="1140" w:type="dxa"/>
            <w:vAlign w:val="bottom"/>
            <w:tcBorders>
              <w:right w:val="single" w:sz="8" w:color="auto"/>
            </w:tcBorders>
          </w:tcPr>
          <w:p>
            <w:pPr>
              <w:spacing w:after="0"/>
              <w:rPr>
                <w:sz w:val="24"/>
                <w:szCs w:val="24"/>
                <w:color w:val="auto"/>
              </w:rPr>
            </w:pPr>
          </w:p>
        </w:tc>
        <w:tc>
          <w:tcPr>
            <w:tcW w:w="980" w:type="dxa"/>
            <w:vAlign w:val="bottom"/>
            <w:tcBorders>
              <w:right w:val="single" w:sz="8" w:color="auto"/>
            </w:tcBorders>
          </w:tcPr>
          <w:p>
            <w:pPr>
              <w:spacing w:after="0"/>
              <w:rPr>
                <w:sz w:val="24"/>
                <w:szCs w:val="24"/>
                <w:color w:val="auto"/>
              </w:rPr>
            </w:pPr>
          </w:p>
        </w:tc>
        <w:tc>
          <w:tcPr>
            <w:tcW w:w="1000" w:type="dxa"/>
            <w:vAlign w:val="bottom"/>
            <w:tcBorders>
              <w:right w:val="single" w:sz="8" w:color="auto"/>
            </w:tcBorders>
          </w:tcPr>
          <w:p>
            <w:pPr>
              <w:spacing w:after="0"/>
              <w:rPr>
                <w:sz w:val="24"/>
                <w:szCs w:val="24"/>
                <w:color w:val="auto"/>
              </w:rPr>
            </w:pPr>
          </w:p>
        </w:tc>
        <w:tc>
          <w:tcPr>
            <w:tcW w:w="1000" w:type="dxa"/>
            <w:vAlign w:val="bottom"/>
            <w:tcBorders>
              <w:right w:val="single" w:sz="8" w:color="auto"/>
            </w:tcBorders>
          </w:tcPr>
          <w:p>
            <w:pPr>
              <w:spacing w:after="0"/>
              <w:rPr>
                <w:sz w:val="24"/>
                <w:szCs w:val="24"/>
                <w:color w:val="auto"/>
              </w:rPr>
            </w:pPr>
          </w:p>
        </w:tc>
        <w:tc>
          <w:tcPr>
            <w:tcW w:w="980" w:type="dxa"/>
            <w:vAlign w:val="bottom"/>
            <w:tcBorders>
              <w:right w:val="single" w:sz="8" w:color="auto"/>
            </w:tcBorders>
          </w:tcPr>
          <w:p>
            <w:pPr>
              <w:spacing w:after="0"/>
              <w:rPr>
                <w:sz w:val="24"/>
                <w:szCs w:val="24"/>
                <w:color w:val="auto"/>
              </w:rPr>
            </w:pPr>
          </w:p>
        </w:tc>
        <w:tc>
          <w:tcPr>
            <w:tcW w:w="9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67"/>
        </w:trPr>
        <w:tc>
          <w:tcPr>
            <w:tcW w:w="3520" w:type="dxa"/>
            <w:vAlign w:val="bottom"/>
            <w:tcBorders>
              <w:left w:val="single" w:sz="8" w:color="auto"/>
              <w:bottom w:val="single" w:sz="8" w:color="auto"/>
              <w:right w:val="single" w:sz="8" w:color="auto"/>
            </w:tcBorders>
          </w:tcPr>
          <w:p>
            <w:pPr>
              <w:ind w:left="100"/>
              <w:spacing w:after="0"/>
              <w:rPr>
                <w:sz w:val="20"/>
                <w:szCs w:val="20"/>
                <w:color w:val="auto"/>
              </w:rPr>
            </w:pPr>
            <w:r>
              <w:rPr>
                <w:rFonts w:ascii="Times New Roman" w:cs="Times New Roman" w:eastAsia="Times New Roman" w:hAnsi="Times New Roman"/>
                <w:sz w:val="28"/>
                <w:szCs w:val="28"/>
                <w:color w:val="auto"/>
              </w:rPr>
              <w:t>доходов, руб.</w:t>
            </w:r>
          </w:p>
        </w:tc>
        <w:tc>
          <w:tcPr>
            <w:tcW w:w="1140" w:type="dxa"/>
            <w:vAlign w:val="bottom"/>
            <w:tcBorders>
              <w:bottom w:val="single" w:sz="8" w:color="auto"/>
              <w:right w:val="single" w:sz="8" w:color="auto"/>
            </w:tcBorders>
          </w:tcPr>
          <w:p>
            <w:pPr>
              <w:spacing w:after="0"/>
              <w:rPr>
                <w:sz w:val="24"/>
                <w:szCs w:val="24"/>
                <w:color w:val="auto"/>
              </w:rPr>
            </w:pPr>
          </w:p>
        </w:tc>
        <w:tc>
          <w:tcPr>
            <w:tcW w:w="980" w:type="dxa"/>
            <w:vAlign w:val="bottom"/>
            <w:tcBorders>
              <w:bottom w:val="single" w:sz="8" w:color="auto"/>
              <w:right w:val="single" w:sz="8" w:color="auto"/>
            </w:tcBorders>
          </w:tcPr>
          <w:p>
            <w:pPr>
              <w:spacing w:after="0"/>
              <w:rPr>
                <w:sz w:val="24"/>
                <w:szCs w:val="24"/>
                <w:color w:val="auto"/>
              </w:rPr>
            </w:pPr>
          </w:p>
        </w:tc>
        <w:tc>
          <w:tcPr>
            <w:tcW w:w="1000" w:type="dxa"/>
            <w:vAlign w:val="bottom"/>
            <w:tcBorders>
              <w:bottom w:val="single" w:sz="8" w:color="auto"/>
              <w:right w:val="single" w:sz="8" w:color="auto"/>
            </w:tcBorders>
          </w:tcPr>
          <w:p>
            <w:pPr>
              <w:spacing w:after="0"/>
              <w:rPr>
                <w:sz w:val="24"/>
                <w:szCs w:val="24"/>
                <w:color w:val="auto"/>
              </w:rPr>
            </w:pPr>
          </w:p>
        </w:tc>
        <w:tc>
          <w:tcPr>
            <w:tcW w:w="1000" w:type="dxa"/>
            <w:vAlign w:val="bottom"/>
            <w:tcBorders>
              <w:bottom w:val="single" w:sz="8" w:color="auto"/>
              <w:right w:val="single" w:sz="8" w:color="auto"/>
            </w:tcBorders>
          </w:tcPr>
          <w:p>
            <w:pPr>
              <w:spacing w:after="0"/>
              <w:rPr>
                <w:sz w:val="24"/>
                <w:szCs w:val="24"/>
                <w:color w:val="auto"/>
              </w:rPr>
            </w:pPr>
          </w:p>
        </w:tc>
        <w:tc>
          <w:tcPr>
            <w:tcW w:w="980" w:type="dxa"/>
            <w:vAlign w:val="bottom"/>
            <w:tcBorders>
              <w:bottom w:val="single" w:sz="8" w:color="auto"/>
              <w:right w:val="single" w:sz="8" w:color="auto"/>
            </w:tcBorders>
          </w:tcPr>
          <w:p>
            <w:pPr>
              <w:spacing w:after="0"/>
              <w:rPr>
                <w:sz w:val="24"/>
                <w:szCs w:val="24"/>
                <w:color w:val="auto"/>
              </w:rPr>
            </w:pPr>
          </w:p>
        </w:tc>
        <w:tc>
          <w:tcPr>
            <w:tcW w:w="96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21"/>
        </w:trPr>
        <w:tc>
          <w:tcPr>
            <w:tcW w:w="3520" w:type="dxa"/>
            <w:vAlign w:val="bottom"/>
            <w:tcBorders>
              <w:left w:val="single" w:sz="8" w:color="auto"/>
              <w:right w:val="single" w:sz="8" w:color="auto"/>
            </w:tcBorders>
          </w:tcPr>
          <w:p>
            <w:pPr>
              <w:ind w:left="100"/>
              <w:spacing w:after="0" w:line="321" w:lineRule="exact"/>
              <w:rPr>
                <w:sz w:val="20"/>
                <w:szCs w:val="20"/>
                <w:color w:val="auto"/>
              </w:rPr>
            </w:pPr>
            <w:r>
              <w:rPr>
                <w:rFonts w:ascii="Times New Roman" w:cs="Times New Roman" w:eastAsia="Times New Roman" w:hAnsi="Times New Roman"/>
                <w:sz w:val="28"/>
                <w:szCs w:val="28"/>
                <w:color w:val="auto"/>
              </w:rPr>
              <w:t>Текущая стоимость</w:t>
            </w:r>
          </w:p>
        </w:tc>
        <w:tc>
          <w:tcPr>
            <w:tcW w:w="1140" w:type="dxa"/>
            <w:vAlign w:val="bottom"/>
            <w:tcBorders>
              <w:right w:val="single" w:sz="8" w:color="auto"/>
            </w:tcBorders>
          </w:tcPr>
          <w:p>
            <w:pPr>
              <w:ind w:left="100"/>
              <w:spacing w:after="0" w:line="321" w:lineRule="exact"/>
              <w:rPr>
                <w:sz w:val="20"/>
                <w:szCs w:val="20"/>
                <w:color w:val="auto"/>
              </w:rPr>
            </w:pPr>
            <w:r>
              <w:rPr>
                <w:rFonts w:ascii="Times New Roman" w:cs="Times New Roman" w:eastAsia="Times New Roman" w:hAnsi="Times New Roman"/>
                <w:sz w:val="28"/>
                <w:szCs w:val="28"/>
                <w:color w:val="auto"/>
              </w:rPr>
              <w:t>11500</w:t>
            </w:r>
          </w:p>
        </w:tc>
        <w:tc>
          <w:tcPr>
            <w:tcW w:w="980" w:type="dxa"/>
            <w:vAlign w:val="bottom"/>
            <w:tcBorders>
              <w:right w:val="single" w:sz="8" w:color="auto"/>
            </w:tcBorders>
          </w:tcPr>
          <w:p>
            <w:pPr>
              <w:spacing w:after="0"/>
              <w:rPr>
                <w:sz w:val="24"/>
                <w:szCs w:val="24"/>
                <w:color w:val="auto"/>
              </w:rPr>
            </w:pPr>
          </w:p>
        </w:tc>
        <w:tc>
          <w:tcPr>
            <w:tcW w:w="1000" w:type="dxa"/>
            <w:vAlign w:val="bottom"/>
            <w:tcBorders>
              <w:right w:val="single" w:sz="8" w:color="auto"/>
            </w:tcBorders>
          </w:tcPr>
          <w:p>
            <w:pPr>
              <w:spacing w:after="0"/>
              <w:rPr>
                <w:sz w:val="24"/>
                <w:szCs w:val="24"/>
                <w:color w:val="auto"/>
              </w:rPr>
            </w:pPr>
          </w:p>
        </w:tc>
        <w:tc>
          <w:tcPr>
            <w:tcW w:w="1000" w:type="dxa"/>
            <w:vAlign w:val="bottom"/>
            <w:tcBorders>
              <w:right w:val="single" w:sz="8" w:color="auto"/>
            </w:tcBorders>
          </w:tcPr>
          <w:p>
            <w:pPr>
              <w:spacing w:after="0"/>
              <w:rPr>
                <w:sz w:val="24"/>
                <w:szCs w:val="24"/>
                <w:color w:val="auto"/>
              </w:rPr>
            </w:pPr>
          </w:p>
        </w:tc>
        <w:tc>
          <w:tcPr>
            <w:tcW w:w="980" w:type="dxa"/>
            <w:vAlign w:val="bottom"/>
            <w:tcBorders>
              <w:right w:val="single" w:sz="8" w:color="auto"/>
            </w:tcBorders>
          </w:tcPr>
          <w:p>
            <w:pPr>
              <w:spacing w:after="0"/>
              <w:rPr>
                <w:sz w:val="24"/>
                <w:szCs w:val="24"/>
                <w:color w:val="auto"/>
              </w:rPr>
            </w:pPr>
          </w:p>
        </w:tc>
        <w:tc>
          <w:tcPr>
            <w:tcW w:w="9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67"/>
        </w:trPr>
        <w:tc>
          <w:tcPr>
            <w:tcW w:w="3520" w:type="dxa"/>
            <w:vAlign w:val="bottom"/>
            <w:tcBorders>
              <w:left w:val="single" w:sz="8" w:color="auto"/>
              <w:bottom w:val="single" w:sz="8" w:color="auto"/>
              <w:right w:val="single" w:sz="8" w:color="auto"/>
            </w:tcBorders>
          </w:tcPr>
          <w:p>
            <w:pPr>
              <w:ind w:left="100"/>
              <w:spacing w:after="0"/>
              <w:rPr>
                <w:sz w:val="20"/>
                <w:szCs w:val="20"/>
                <w:color w:val="auto"/>
              </w:rPr>
            </w:pPr>
            <w:r>
              <w:rPr>
                <w:rFonts w:ascii="Times New Roman" w:cs="Times New Roman" w:eastAsia="Times New Roman" w:hAnsi="Times New Roman"/>
                <w:sz w:val="28"/>
                <w:szCs w:val="28"/>
                <w:color w:val="auto"/>
              </w:rPr>
              <w:t>оборотных средств, руб.</w:t>
            </w:r>
          </w:p>
        </w:tc>
        <w:tc>
          <w:tcPr>
            <w:tcW w:w="1140" w:type="dxa"/>
            <w:vAlign w:val="bottom"/>
            <w:tcBorders>
              <w:bottom w:val="single" w:sz="8" w:color="auto"/>
              <w:right w:val="single" w:sz="8" w:color="auto"/>
            </w:tcBorders>
          </w:tcPr>
          <w:p>
            <w:pPr>
              <w:spacing w:after="0"/>
              <w:rPr>
                <w:sz w:val="24"/>
                <w:szCs w:val="24"/>
                <w:color w:val="auto"/>
              </w:rPr>
            </w:pPr>
          </w:p>
        </w:tc>
        <w:tc>
          <w:tcPr>
            <w:tcW w:w="980" w:type="dxa"/>
            <w:vAlign w:val="bottom"/>
            <w:tcBorders>
              <w:bottom w:val="single" w:sz="8" w:color="auto"/>
              <w:right w:val="single" w:sz="8" w:color="auto"/>
            </w:tcBorders>
          </w:tcPr>
          <w:p>
            <w:pPr>
              <w:spacing w:after="0"/>
              <w:rPr>
                <w:sz w:val="24"/>
                <w:szCs w:val="24"/>
                <w:color w:val="auto"/>
              </w:rPr>
            </w:pPr>
          </w:p>
        </w:tc>
        <w:tc>
          <w:tcPr>
            <w:tcW w:w="1000" w:type="dxa"/>
            <w:vAlign w:val="bottom"/>
            <w:tcBorders>
              <w:bottom w:val="single" w:sz="8" w:color="auto"/>
              <w:right w:val="single" w:sz="8" w:color="auto"/>
            </w:tcBorders>
          </w:tcPr>
          <w:p>
            <w:pPr>
              <w:spacing w:after="0"/>
              <w:rPr>
                <w:sz w:val="24"/>
                <w:szCs w:val="24"/>
                <w:color w:val="auto"/>
              </w:rPr>
            </w:pPr>
          </w:p>
        </w:tc>
        <w:tc>
          <w:tcPr>
            <w:tcW w:w="1000" w:type="dxa"/>
            <w:vAlign w:val="bottom"/>
            <w:tcBorders>
              <w:bottom w:val="single" w:sz="8" w:color="auto"/>
              <w:right w:val="single" w:sz="8" w:color="auto"/>
            </w:tcBorders>
          </w:tcPr>
          <w:p>
            <w:pPr>
              <w:spacing w:after="0"/>
              <w:rPr>
                <w:sz w:val="24"/>
                <w:szCs w:val="24"/>
                <w:color w:val="auto"/>
              </w:rPr>
            </w:pPr>
          </w:p>
        </w:tc>
        <w:tc>
          <w:tcPr>
            <w:tcW w:w="980" w:type="dxa"/>
            <w:vAlign w:val="bottom"/>
            <w:tcBorders>
              <w:bottom w:val="single" w:sz="8" w:color="auto"/>
              <w:right w:val="single" w:sz="8" w:color="auto"/>
            </w:tcBorders>
          </w:tcPr>
          <w:p>
            <w:pPr>
              <w:spacing w:after="0"/>
              <w:rPr>
                <w:sz w:val="24"/>
                <w:szCs w:val="24"/>
                <w:color w:val="auto"/>
              </w:rPr>
            </w:pPr>
          </w:p>
        </w:tc>
        <w:tc>
          <w:tcPr>
            <w:tcW w:w="96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21"/>
        </w:trPr>
        <w:tc>
          <w:tcPr>
            <w:tcW w:w="3520" w:type="dxa"/>
            <w:vAlign w:val="bottom"/>
            <w:tcBorders>
              <w:left w:val="single" w:sz="8" w:color="auto"/>
              <w:right w:val="single" w:sz="8" w:color="auto"/>
            </w:tcBorders>
          </w:tcPr>
          <w:p>
            <w:pPr>
              <w:ind w:left="100"/>
              <w:spacing w:after="0" w:line="321" w:lineRule="exact"/>
              <w:rPr>
                <w:sz w:val="20"/>
                <w:szCs w:val="20"/>
                <w:color w:val="auto"/>
              </w:rPr>
            </w:pPr>
            <w:r>
              <w:rPr>
                <w:rFonts w:ascii="Times New Roman" w:cs="Times New Roman" w:eastAsia="Times New Roman" w:hAnsi="Times New Roman"/>
                <w:sz w:val="28"/>
                <w:szCs w:val="28"/>
                <w:color w:val="auto"/>
              </w:rPr>
              <w:t>Текущая остаточная</w:t>
            </w:r>
          </w:p>
        </w:tc>
        <w:tc>
          <w:tcPr>
            <w:tcW w:w="1140" w:type="dxa"/>
            <w:vAlign w:val="bottom"/>
            <w:tcBorders>
              <w:right w:val="single" w:sz="8" w:color="auto"/>
            </w:tcBorders>
          </w:tcPr>
          <w:p>
            <w:pPr>
              <w:ind w:left="100"/>
              <w:spacing w:after="0" w:line="321" w:lineRule="exact"/>
              <w:rPr>
                <w:sz w:val="20"/>
                <w:szCs w:val="20"/>
                <w:color w:val="auto"/>
              </w:rPr>
            </w:pPr>
            <w:r>
              <w:rPr>
                <w:rFonts w:ascii="Times New Roman" w:cs="Times New Roman" w:eastAsia="Times New Roman" w:hAnsi="Times New Roman"/>
                <w:sz w:val="28"/>
                <w:szCs w:val="28"/>
                <w:color w:val="auto"/>
              </w:rPr>
              <w:t>114900</w:t>
            </w:r>
          </w:p>
        </w:tc>
        <w:tc>
          <w:tcPr>
            <w:tcW w:w="980" w:type="dxa"/>
            <w:vAlign w:val="bottom"/>
            <w:tcBorders>
              <w:right w:val="single" w:sz="8" w:color="auto"/>
            </w:tcBorders>
          </w:tcPr>
          <w:p>
            <w:pPr>
              <w:spacing w:after="0"/>
              <w:rPr>
                <w:sz w:val="24"/>
                <w:szCs w:val="24"/>
                <w:color w:val="auto"/>
              </w:rPr>
            </w:pPr>
          </w:p>
        </w:tc>
        <w:tc>
          <w:tcPr>
            <w:tcW w:w="1000" w:type="dxa"/>
            <w:vAlign w:val="bottom"/>
            <w:tcBorders>
              <w:right w:val="single" w:sz="8" w:color="auto"/>
            </w:tcBorders>
          </w:tcPr>
          <w:p>
            <w:pPr>
              <w:spacing w:after="0"/>
              <w:rPr>
                <w:sz w:val="24"/>
                <w:szCs w:val="24"/>
                <w:color w:val="auto"/>
              </w:rPr>
            </w:pPr>
          </w:p>
        </w:tc>
        <w:tc>
          <w:tcPr>
            <w:tcW w:w="1000" w:type="dxa"/>
            <w:vAlign w:val="bottom"/>
            <w:tcBorders>
              <w:right w:val="single" w:sz="8" w:color="auto"/>
            </w:tcBorders>
          </w:tcPr>
          <w:p>
            <w:pPr>
              <w:spacing w:after="0"/>
              <w:rPr>
                <w:sz w:val="24"/>
                <w:szCs w:val="24"/>
                <w:color w:val="auto"/>
              </w:rPr>
            </w:pPr>
          </w:p>
        </w:tc>
        <w:tc>
          <w:tcPr>
            <w:tcW w:w="980" w:type="dxa"/>
            <w:vAlign w:val="bottom"/>
            <w:tcBorders>
              <w:right w:val="single" w:sz="8" w:color="auto"/>
            </w:tcBorders>
          </w:tcPr>
          <w:p>
            <w:pPr>
              <w:spacing w:after="0"/>
              <w:rPr>
                <w:sz w:val="24"/>
                <w:szCs w:val="24"/>
                <w:color w:val="auto"/>
              </w:rPr>
            </w:pPr>
          </w:p>
        </w:tc>
        <w:tc>
          <w:tcPr>
            <w:tcW w:w="9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48"/>
        </w:trPr>
        <w:tc>
          <w:tcPr>
            <w:tcW w:w="3520" w:type="dxa"/>
            <w:vAlign w:val="bottom"/>
            <w:tcBorders>
              <w:left w:val="single" w:sz="8" w:color="auto"/>
              <w:right w:val="single" w:sz="8" w:color="auto"/>
            </w:tcBorders>
          </w:tcPr>
          <w:p>
            <w:pPr>
              <w:ind w:left="100"/>
              <w:spacing w:after="0"/>
              <w:rPr>
                <w:sz w:val="20"/>
                <w:szCs w:val="20"/>
                <w:color w:val="auto"/>
              </w:rPr>
            </w:pPr>
            <w:r>
              <w:rPr>
                <w:rFonts w:ascii="Times New Roman" w:cs="Times New Roman" w:eastAsia="Times New Roman" w:hAnsi="Times New Roman"/>
                <w:sz w:val="28"/>
                <w:szCs w:val="28"/>
                <w:color w:val="auto"/>
              </w:rPr>
              <w:t>стоимость комплекса</w:t>
            </w:r>
          </w:p>
        </w:tc>
        <w:tc>
          <w:tcPr>
            <w:tcW w:w="1140" w:type="dxa"/>
            <w:vAlign w:val="bottom"/>
            <w:tcBorders>
              <w:right w:val="single" w:sz="8" w:color="auto"/>
            </w:tcBorders>
          </w:tcPr>
          <w:p>
            <w:pPr>
              <w:spacing w:after="0"/>
              <w:rPr>
                <w:sz w:val="24"/>
                <w:szCs w:val="24"/>
                <w:color w:val="auto"/>
              </w:rPr>
            </w:pPr>
          </w:p>
        </w:tc>
        <w:tc>
          <w:tcPr>
            <w:tcW w:w="980" w:type="dxa"/>
            <w:vAlign w:val="bottom"/>
            <w:tcBorders>
              <w:right w:val="single" w:sz="8" w:color="auto"/>
            </w:tcBorders>
          </w:tcPr>
          <w:p>
            <w:pPr>
              <w:spacing w:after="0"/>
              <w:rPr>
                <w:sz w:val="24"/>
                <w:szCs w:val="24"/>
                <w:color w:val="auto"/>
              </w:rPr>
            </w:pPr>
          </w:p>
        </w:tc>
        <w:tc>
          <w:tcPr>
            <w:tcW w:w="1000" w:type="dxa"/>
            <w:vAlign w:val="bottom"/>
            <w:tcBorders>
              <w:right w:val="single" w:sz="8" w:color="auto"/>
            </w:tcBorders>
          </w:tcPr>
          <w:p>
            <w:pPr>
              <w:spacing w:after="0"/>
              <w:rPr>
                <w:sz w:val="24"/>
                <w:szCs w:val="24"/>
                <w:color w:val="auto"/>
              </w:rPr>
            </w:pPr>
          </w:p>
        </w:tc>
        <w:tc>
          <w:tcPr>
            <w:tcW w:w="1000" w:type="dxa"/>
            <w:vAlign w:val="bottom"/>
            <w:tcBorders>
              <w:right w:val="single" w:sz="8" w:color="auto"/>
            </w:tcBorders>
          </w:tcPr>
          <w:p>
            <w:pPr>
              <w:spacing w:after="0"/>
              <w:rPr>
                <w:sz w:val="24"/>
                <w:szCs w:val="24"/>
                <w:color w:val="auto"/>
              </w:rPr>
            </w:pPr>
          </w:p>
        </w:tc>
        <w:tc>
          <w:tcPr>
            <w:tcW w:w="980" w:type="dxa"/>
            <w:vAlign w:val="bottom"/>
            <w:tcBorders>
              <w:right w:val="single" w:sz="8" w:color="auto"/>
            </w:tcBorders>
          </w:tcPr>
          <w:p>
            <w:pPr>
              <w:spacing w:after="0"/>
              <w:rPr>
                <w:sz w:val="24"/>
                <w:szCs w:val="24"/>
                <w:color w:val="auto"/>
              </w:rPr>
            </w:pPr>
          </w:p>
        </w:tc>
        <w:tc>
          <w:tcPr>
            <w:tcW w:w="9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67"/>
        </w:trPr>
        <w:tc>
          <w:tcPr>
            <w:tcW w:w="3520" w:type="dxa"/>
            <w:vAlign w:val="bottom"/>
            <w:tcBorders>
              <w:left w:val="single" w:sz="8" w:color="auto"/>
              <w:bottom w:val="single" w:sz="8" w:color="auto"/>
              <w:right w:val="single" w:sz="8" w:color="auto"/>
            </w:tcBorders>
          </w:tcPr>
          <w:p>
            <w:pPr>
              <w:ind w:left="100"/>
              <w:spacing w:after="0"/>
              <w:rPr>
                <w:sz w:val="20"/>
                <w:szCs w:val="20"/>
                <w:color w:val="auto"/>
              </w:rPr>
            </w:pPr>
            <w:r>
              <w:rPr>
                <w:rFonts w:ascii="Times New Roman" w:cs="Times New Roman" w:eastAsia="Times New Roman" w:hAnsi="Times New Roman"/>
                <w:sz w:val="28"/>
                <w:szCs w:val="28"/>
                <w:color w:val="auto"/>
              </w:rPr>
              <w:t>оборудования, руб.</w:t>
            </w:r>
          </w:p>
        </w:tc>
        <w:tc>
          <w:tcPr>
            <w:tcW w:w="1140" w:type="dxa"/>
            <w:vAlign w:val="bottom"/>
            <w:tcBorders>
              <w:bottom w:val="single" w:sz="8" w:color="auto"/>
              <w:right w:val="single" w:sz="8" w:color="auto"/>
            </w:tcBorders>
          </w:tcPr>
          <w:p>
            <w:pPr>
              <w:spacing w:after="0"/>
              <w:rPr>
                <w:sz w:val="24"/>
                <w:szCs w:val="24"/>
                <w:color w:val="auto"/>
              </w:rPr>
            </w:pPr>
          </w:p>
        </w:tc>
        <w:tc>
          <w:tcPr>
            <w:tcW w:w="980" w:type="dxa"/>
            <w:vAlign w:val="bottom"/>
            <w:tcBorders>
              <w:bottom w:val="single" w:sz="8" w:color="auto"/>
              <w:right w:val="single" w:sz="8" w:color="auto"/>
            </w:tcBorders>
          </w:tcPr>
          <w:p>
            <w:pPr>
              <w:spacing w:after="0"/>
              <w:rPr>
                <w:sz w:val="24"/>
                <w:szCs w:val="24"/>
                <w:color w:val="auto"/>
              </w:rPr>
            </w:pPr>
          </w:p>
        </w:tc>
        <w:tc>
          <w:tcPr>
            <w:tcW w:w="1000" w:type="dxa"/>
            <w:vAlign w:val="bottom"/>
            <w:tcBorders>
              <w:bottom w:val="single" w:sz="8" w:color="auto"/>
              <w:right w:val="single" w:sz="8" w:color="auto"/>
            </w:tcBorders>
          </w:tcPr>
          <w:p>
            <w:pPr>
              <w:spacing w:after="0"/>
              <w:rPr>
                <w:sz w:val="24"/>
                <w:szCs w:val="24"/>
                <w:color w:val="auto"/>
              </w:rPr>
            </w:pPr>
          </w:p>
        </w:tc>
        <w:tc>
          <w:tcPr>
            <w:tcW w:w="1000" w:type="dxa"/>
            <w:vAlign w:val="bottom"/>
            <w:tcBorders>
              <w:bottom w:val="single" w:sz="8" w:color="auto"/>
              <w:right w:val="single" w:sz="8" w:color="auto"/>
            </w:tcBorders>
          </w:tcPr>
          <w:p>
            <w:pPr>
              <w:spacing w:after="0"/>
              <w:rPr>
                <w:sz w:val="24"/>
                <w:szCs w:val="24"/>
                <w:color w:val="auto"/>
              </w:rPr>
            </w:pPr>
          </w:p>
        </w:tc>
        <w:tc>
          <w:tcPr>
            <w:tcW w:w="980" w:type="dxa"/>
            <w:vAlign w:val="bottom"/>
            <w:tcBorders>
              <w:bottom w:val="single" w:sz="8" w:color="auto"/>
              <w:right w:val="single" w:sz="8" w:color="auto"/>
            </w:tcBorders>
          </w:tcPr>
          <w:p>
            <w:pPr>
              <w:spacing w:after="0"/>
              <w:rPr>
                <w:sz w:val="24"/>
                <w:szCs w:val="24"/>
                <w:color w:val="auto"/>
              </w:rPr>
            </w:pPr>
          </w:p>
        </w:tc>
        <w:tc>
          <w:tcPr>
            <w:tcW w:w="96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ectPr>
          <w:pgSz w:w="11900" w:h="16840" w:orient="portrait"/>
          <w:cols w:equalWidth="0" w:num="1">
            <w:col w:w="9720"/>
          </w:cols>
          <w:pgMar w:left="1440" w:top="1112" w:right="744" w:bottom="163" w:gutter="0" w:footer="0" w:header="0"/>
        </w:sectPr>
      </w:pPr>
    </w:p>
    <w:p>
      <w:pPr>
        <w:spacing w:after="0" w:line="200" w:lineRule="exact"/>
        <w:rPr>
          <w:sz w:val="20"/>
          <w:szCs w:val="20"/>
          <w:color w:val="auto"/>
        </w:rPr>
      </w:pPr>
    </w:p>
    <w:p>
      <w:pPr>
        <w:spacing w:after="0" w:line="366" w:lineRule="exact"/>
        <w:rPr>
          <w:sz w:val="20"/>
          <w:szCs w:val="20"/>
          <w:color w:val="auto"/>
        </w:rPr>
      </w:pPr>
    </w:p>
    <w:p>
      <w:pPr>
        <w:ind w:left="9380"/>
        <w:spacing w:after="0"/>
        <w:rPr>
          <w:sz w:val="20"/>
          <w:szCs w:val="20"/>
          <w:color w:val="auto"/>
        </w:rPr>
      </w:pPr>
      <w:r>
        <w:rPr>
          <w:rFonts w:ascii="Times New Roman" w:cs="Times New Roman" w:eastAsia="Times New Roman" w:hAnsi="Times New Roman"/>
          <w:sz w:val="24"/>
          <w:szCs w:val="24"/>
          <w:color w:val="auto"/>
        </w:rPr>
        <w:t>36</w:t>
      </w:r>
    </w:p>
    <w:p>
      <w:pPr>
        <w:sectPr>
          <w:pgSz w:w="11900" w:h="16840" w:orient="portrait"/>
          <w:cols w:equalWidth="0" w:num="1">
            <w:col w:w="9720"/>
          </w:cols>
          <w:pgMar w:left="1440" w:top="1112" w:right="744" w:bottom="163" w:gutter="0" w:footer="0" w:header="0"/>
          <w:type w:val="continuous"/>
        </w:sectPr>
      </w:pPr>
    </w:p>
    <w:p>
      <w:pPr>
        <w:jc w:val="both"/>
        <w:ind w:left="260" w:right="120" w:firstLine="720"/>
        <w:spacing w:after="0"/>
        <w:rPr>
          <w:sz w:val="20"/>
          <w:szCs w:val="20"/>
          <w:color w:val="auto"/>
        </w:rPr>
      </w:pPr>
      <w:r>
        <w:rPr>
          <w:rFonts w:ascii="Times New Roman" w:cs="Times New Roman" w:eastAsia="Times New Roman" w:hAnsi="Times New Roman"/>
          <w:sz w:val="28"/>
          <w:szCs w:val="28"/>
          <w:u w:val="single" w:color="auto"/>
          <w:color w:val="auto"/>
        </w:rPr>
        <w:t>Задача</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u w:val="single" w:color="auto"/>
          <w:color w:val="auto"/>
        </w:rPr>
        <w:t>3.2.6.</w:t>
      </w:r>
      <w:r>
        <w:rPr>
          <w:rFonts w:ascii="Times New Roman" w:cs="Times New Roman" w:eastAsia="Times New Roman" w:hAnsi="Times New Roman"/>
          <w:sz w:val="28"/>
          <w:szCs w:val="28"/>
          <w:color w:val="auto"/>
        </w:rPr>
        <w:t xml:space="preserve"> Определить восстановительную стоимость токарного станка, обеспечивающего обработку деталей диаметром до 400 мм. и длиной l = 800мм.</w:t>
      </w:r>
    </w:p>
    <w:p>
      <w:pPr>
        <w:jc w:val="both"/>
        <w:ind w:left="260" w:right="120" w:firstLine="720"/>
        <w:spacing w:after="0" w:line="242" w:lineRule="auto"/>
        <w:rPr>
          <w:sz w:val="20"/>
          <w:szCs w:val="20"/>
          <w:color w:val="auto"/>
        </w:rPr>
      </w:pPr>
      <w:r>
        <w:rPr>
          <w:rFonts w:ascii="Times New Roman" w:cs="Times New Roman" w:eastAsia="Times New Roman" w:hAnsi="Times New Roman"/>
          <w:sz w:val="28"/>
          <w:szCs w:val="28"/>
          <w:color w:val="auto"/>
        </w:rPr>
        <w:t>Цены указаны без НДС на момент оценки комплектующего инструмента 2000г. Среднемесячный рост цен на оборудование и приспособления – 3%</w:t>
      </w:r>
    </w:p>
    <w:tbl>
      <w:tblPr>
        <w:tblLayout w:type="fixed"/>
        <w:tblInd w:w="230" w:type="dxa"/>
        <w:tblCellMar>
          <w:top w:w="0" w:type="dxa"/>
          <w:left w:w="0" w:type="dxa"/>
          <w:bottom w:w="0" w:type="dxa"/>
          <w:right w:w="0" w:type="dxa"/>
        </w:tblCellMar>
      </w:tblPr>
      <w:tr>
        <w:trPr>
          <w:trHeight w:val="282"/>
        </w:trPr>
        <w:tc>
          <w:tcPr>
            <w:tcW w:w="1680" w:type="dxa"/>
            <w:vAlign w:val="bottom"/>
            <w:tcBorders>
              <w:top w:val="single" w:sz="8" w:color="auto"/>
              <w:left w:val="single" w:sz="8" w:color="auto"/>
              <w:right w:val="single" w:sz="8" w:color="auto"/>
            </w:tcBorders>
          </w:tcPr>
          <w:p>
            <w:pPr>
              <w:jc w:val="center"/>
              <w:spacing w:after="0" w:line="282" w:lineRule="exact"/>
              <w:rPr>
                <w:sz w:val="20"/>
                <w:szCs w:val="20"/>
                <w:color w:val="auto"/>
              </w:rPr>
            </w:pPr>
            <w:r>
              <w:rPr>
                <w:rFonts w:ascii="Times New Roman" w:cs="Times New Roman" w:eastAsia="Times New Roman" w:hAnsi="Times New Roman"/>
                <w:sz w:val="26"/>
                <w:szCs w:val="26"/>
                <w:color w:val="auto"/>
                <w:w w:val="96"/>
              </w:rPr>
              <w:t>Последовате-</w:t>
            </w:r>
          </w:p>
        </w:tc>
        <w:tc>
          <w:tcPr>
            <w:tcW w:w="2280" w:type="dxa"/>
            <w:vAlign w:val="bottom"/>
            <w:tcBorders>
              <w:top w:val="single" w:sz="8" w:color="auto"/>
              <w:right w:val="single" w:sz="8" w:color="auto"/>
            </w:tcBorders>
          </w:tcPr>
          <w:p>
            <w:pPr>
              <w:spacing w:after="0"/>
              <w:rPr>
                <w:sz w:val="24"/>
                <w:szCs w:val="24"/>
                <w:color w:val="auto"/>
              </w:rPr>
            </w:pPr>
          </w:p>
        </w:tc>
        <w:tc>
          <w:tcPr>
            <w:tcW w:w="1000" w:type="dxa"/>
            <w:vAlign w:val="bottom"/>
            <w:tcBorders>
              <w:top w:val="single" w:sz="8" w:color="auto"/>
              <w:right w:val="single" w:sz="8" w:color="auto"/>
            </w:tcBorders>
          </w:tcPr>
          <w:p>
            <w:pPr>
              <w:spacing w:after="0"/>
              <w:rPr>
                <w:sz w:val="24"/>
                <w:szCs w:val="24"/>
                <w:color w:val="auto"/>
              </w:rPr>
            </w:pPr>
          </w:p>
        </w:tc>
        <w:tc>
          <w:tcPr>
            <w:tcW w:w="1400" w:type="dxa"/>
            <w:vAlign w:val="bottom"/>
            <w:tcBorders>
              <w:top w:val="single" w:sz="8" w:color="auto"/>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6"/>
                <w:szCs w:val="26"/>
                <w:color w:val="auto"/>
                <w:w w:val="96"/>
              </w:rPr>
              <w:t>Аналог</w:t>
            </w:r>
          </w:p>
        </w:tc>
        <w:tc>
          <w:tcPr>
            <w:tcW w:w="1640" w:type="dxa"/>
            <w:vAlign w:val="bottom"/>
            <w:tcBorders>
              <w:top w:val="single" w:sz="8" w:color="auto"/>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6"/>
                <w:szCs w:val="26"/>
                <w:color w:val="auto"/>
                <w:w w:val="96"/>
              </w:rPr>
              <w:t>Аналог</w:t>
            </w:r>
          </w:p>
        </w:tc>
        <w:tc>
          <w:tcPr>
            <w:tcW w:w="1540" w:type="dxa"/>
            <w:vAlign w:val="bottom"/>
            <w:tcBorders>
              <w:top w:val="single" w:sz="8" w:color="auto"/>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6"/>
                <w:szCs w:val="26"/>
                <w:color w:val="auto"/>
                <w:w w:val="96"/>
              </w:rPr>
              <w:t>Аналог</w:t>
            </w:r>
          </w:p>
        </w:tc>
        <w:tc>
          <w:tcPr>
            <w:tcW w:w="0" w:type="dxa"/>
            <w:vAlign w:val="bottom"/>
          </w:tcPr>
          <w:p>
            <w:pPr>
              <w:spacing w:after="0"/>
              <w:rPr>
                <w:sz w:val="1"/>
                <w:szCs w:val="1"/>
                <w:color w:val="auto"/>
              </w:rPr>
            </w:pPr>
          </w:p>
        </w:tc>
      </w:tr>
      <w:tr>
        <w:trPr>
          <w:trHeight w:val="150"/>
        </w:trPr>
        <w:tc>
          <w:tcPr>
            <w:tcW w:w="1680" w:type="dxa"/>
            <w:vAlign w:val="bottom"/>
            <w:tcBorders>
              <w:left w:val="single" w:sz="8" w:color="auto"/>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6"/>
                <w:szCs w:val="26"/>
                <w:color w:val="auto"/>
                <w:w w:val="97"/>
              </w:rPr>
              <w:t>льность</w:t>
            </w:r>
          </w:p>
        </w:tc>
        <w:tc>
          <w:tcPr>
            <w:tcW w:w="2280" w:type="dxa"/>
            <w:vAlign w:val="bottom"/>
            <w:tcBorders>
              <w:right w:val="single" w:sz="8" w:color="auto"/>
            </w:tcBorders>
          </w:tcPr>
          <w:p>
            <w:pPr>
              <w:spacing w:after="0"/>
              <w:rPr>
                <w:sz w:val="13"/>
                <w:szCs w:val="13"/>
                <w:color w:val="auto"/>
              </w:rPr>
            </w:pPr>
          </w:p>
        </w:tc>
        <w:tc>
          <w:tcPr>
            <w:tcW w:w="100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6"/>
                <w:szCs w:val="26"/>
                <w:color w:val="auto"/>
                <w:w w:val="96"/>
              </w:rPr>
              <w:t>Объект</w:t>
            </w:r>
          </w:p>
        </w:tc>
        <w:tc>
          <w:tcPr>
            <w:tcW w:w="1400" w:type="dxa"/>
            <w:vAlign w:val="bottom"/>
            <w:tcBorders>
              <w:right w:val="single" w:sz="8" w:color="auto"/>
            </w:tcBorders>
            <w:vMerge w:val="continue"/>
          </w:tcPr>
          <w:p>
            <w:pPr>
              <w:spacing w:after="0"/>
              <w:rPr>
                <w:sz w:val="13"/>
                <w:szCs w:val="13"/>
                <w:color w:val="auto"/>
              </w:rPr>
            </w:pPr>
          </w:p>
        </w:tc>
        <w:tc>
          <w:tcPr>
            <w:tcW w:w="1640" w:type="dxa"/>
            <w:vAlign w:val="bottom"/>
            <w:tcBorders>
              <w:right w:val="single" w:sz="8" w:color="auto"/>
            </w:tcBorders>
            <w:vMerge w:val="continue"/>
          </w:tcPr>
          <w:p>
            <w:pPr>
              <w:spacing w:after="0"/>
              <w:rPr>
                <w:sz w:val="13"/>
                <w:szCs w:val="13"/>
                <w:color w:val="auto"/>
              </w:rPr>
            </w:pPr>
          </w:p>
        </w:tc>
        <w:tc>
          <w:tcPr>
            <w:tcW w:w="1540" w:type="dxa"/>
            <w:vAlign w:val="bottom"/>
            <w:tcBorders>
              <w:right w:val="single" w:sz="8" w:color="auto"/>
            </w:tcBorders>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149"/>
        </w:trPr>
        <w:tc>
          <w:tcPr>
            <w:tcW w:w="1680" w:type="dxa"/>
            <w:vAlign w:val="bottom"/>
            <w:tcBorders>
              <w:left w:val="single" w:sz="8" w:color="auto"/>
              <w:right w:val="single" w:sz="8" w:color="auto"/>
            </w:tcBorders>
            <w:vMerge w:val="continue"/>
          </w:tcPr>
          <w:p>
            <w:pPr>
              <w:spacing w:after="0"/>
              <w:rPr>
                <w:sz w:val="12"/>
                <w:szCs w:val="12"/>
                <w:color w:val="auto"/>
              </w:rPr>
            </w:pPr>
          </w:p>
        </w:tc>
        <w:tc>
          <w:tcPr>
            <w:tcW w:w="2280" w:type="dxa"/>
            <w:vAlign w:val="bottom"/>
            <w:tcBorders>
              <w:right w:val="single" w:sz="8" w:color="auto"/>
            </w:tcBorders>
          </w:tcPr>
          <w:p>
            <w:pPr>
              <w:spacing w:after="0"/>
              <w:rPr>
                <w:sz w:val="12"/>
                <w:szCs w:val="12"/>
                <w:color w:val="auto"/>
              </w:rPr>
            </w:pPr>
          </w:p>
        </w:tc>
        <w:tc>
          <w:tcPr>
            <w:tcW w:w="1000" w:type="dxa"/>
            <w:vAlign w:val="bottom"/>
            <w:tcBorders>
              <w:right w:val="single" w:sz="8" w:color="auto"/>
            </w:tcBorders>
            <w:vMerge w:val="continue"/>
          </w:tcPr>
          <w:p>
            <w:pPr>
              <w:spacing w:after="0"/>
              <w:rPr>
                <w:sz w:val="12"/>
                <w:szCs w:val="12"/>
                <w:color w:val="auto"/>
              </w:rPr>
            </w:pPr>
          </w:p>
        </w:tc>
        <w:tc>
          <w:tcPr>
            <w:tcW w:w="140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6"/>
                <w:szCs w:val="26"/>
                <w:color w:val="auto"/>
                <w:w w:val="95"/>
              </w:rPr>
              <w:t>(объект</w:t>
            </w:r>
          </w:p>
        </w:tc>
        <w:tc>
          <w:tcPr>
            <w:tcW w:w="164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6"/>
                <w:szCs w:val="26"/>
                <w:color w:val="auto"/>
                <w:w w:val="95"/>
              </w:rPr>
              <w:t>(объект</w:t>
            </w:r>
          </w:p>
        </w:tc>
        <w:tc>
          <w:tcPr>
            <w:tcW w:w="154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6"/>
                <w:szCs w:val="26"/>
                <w:color w:val="auto"/>
                <w:w w:val="95"/>
              </w:rPr>
              <w:t>(объект</w:t>
            </w:r>
          </w:p>
        </w:tc>
        <w:tc>
          <w:tcPr>
            <w:tcW w:w="0" w:type="dxa"/>
            <w:vAlign w:val="bottom"/>
          </w:tcPr>
          <w:p>
            <w:pPr>
              <w:spacing w:after="0"/>
              <w:rPr>
                <w:sz w:val="1"/>
                <w:szCs w:val="1"/>
                <w:color w:val="auto"/>
              </w:rPr>
            </w:pPr>
          </w:p>
        </w:tc>
      </w:tr>
      <w:tr>
        <w:trPr>
          <w:trHeight w:val="150"/>
        </w:trPr>
        <w:tc>
          <w:tcPr>
            <w:tcW w:w="1680" w:type="dxa"/>
            <w:vAlign w:val="bottom"/>
            <w:tcBorders>
              <w:left w:val="single" w:sz="8" w:color="auto"/>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6"/>
                <w:szCs w:val="26"/>
                <w:color w:val="auto"/>
                <w:w w:val="95"/>
              </w:rPr>
              <w:t>внесения</w:t>
            </w:r>
          </w:p>
        </w:tc>
        <w:tc>
          <w:tcPr>
            <w:tcW w:w="2280" w:type="dxa"/>
            <w:vAlign w:val="bottom"/>
            <w:tcBorders>
              <w:right w:val="single" w:sz="8" w:color="auto"/>
            </w:tcBorders>
            <w:vMerge w:val="restart"/>
          </w:tcPr>
          <w:p>
            <w:pPr>
              <w:ind w:left="520"/>
              <w:spacing w:after="0"/>
              <w:rPr>
                <w:sz w:val="20"/>
                <w:szCs w:val="20"/>
                <w:color w:val="auto"/>
              </w:rPr>
            </w:pPr>
            <w:r>
              <w:rPr>
                <w:rFonts w:ascii="Times New Roman" w:cs="Times New Roman" w:eastAsia="Times New Roman" w:hAnsi="Times New Roman"/>
                <w:sz w:val="26"/>
                <w:szCs w:val="26"/>
                <w:color w:val="auto"/>
              </w:rPr>
              <w:t>Показатель</w:t>
            </w:r>
          </w:p>
        </w:tc>
        <w:tc>
          <w:tcPr>
            <w:tcW w:w="1000" w:type="dxa"/>
            <w:vAlign w:val="bottom"/>
            <w:tcBorders>
              <w:right w:val="single" w:sz="8" w:color="auto"/>
            </w:tcBorders>
            <w:vMerge w:val="continue"/>
          </w:tcPr>
          <w:p>
            <w:pPr>
              <w:spacing w:after="0"/>
              <w:rPr>
                <w:sz w:val="13"/>
                <w:szCs w:val="13"/>
                <w:color w:val="auto"/>
              </w:rPr>
            </w:pPr>
          </w:p>
        </w:tc>
        <w:tc>
          <w:tcPr>
            <w:tcW w:w="1400" w:type="dxa"/>
            <w:vAlign w:val="bottom"/>
            <w:tcBorders>
              <w:right w:val="single" w:sz="8" w:color="auto"/>
            </w:tcBorders>
            <w:vMerge w:val="continue"/>
          </w:tcPr>
          <w:p>
            <w:pPr>
              <w:spacing w:after="0"/>
              <w:rPr>
                <w:sz w:val="13"/>
                <w:szCs w:val="13"/>
                <w:color w:val="auto"/>
              </w:rPr>
            </w:pPr>
          </w:p>
        </w:tc>
        <w:tc>
          <w:tcPr>
            <w:tcW w:w="1640" w:type="dxa"/>
            <w:vAlign w:val="bottom"/>
            <w:tcBorders>
              <w:right w:val="single" w:sz="8" w:color="auto"/>
            </w:tcBorders>
            <w:vMerge w:val="continue"/>
          </w:tcPr>
          <w:p>
            <w:pPr>
              <w:spacing w:after="0"/>
              <w:rPr>
                <w:sz w:val="13"/>
                <w:szCs w:val="13"/>
                <w:color w:val="auto"/>
              </w:rPr>
            </w:pPr>
          </w:p>
        </w:tc>
        <w:tc>
          <w:tcPr>
            <w:tcW w:w="1540" w:type="dxa"/>
            <w:vAlign w:val="bottom"/>
            <w:tcBorders>
              <w:right w:val="single" w:sz="8" w:color="auto"/>
            </w:tcBorders>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150"/>
        </w:trPr>
        <w:tc>
          <w:tcPr>
            <w:tcW w:w="1680" w:type="dxa"/>
            <w:vAlign w:val="bottom"/>
            <w:tcBorders>
              <w:left w:val="single" w:sz="8" w:color="auto"/>
              <w:right w:val="single" w:sz="8" w:color="auto"/>
            </w:tcBorders>
            <w:vMerge w:val="continue"/>
          </w:tcPr>
          <w:p>
            <w:pPr>
              <w:spacing w:after="0"/>
              <w:rPr>
                <w:sz w:val="13"/>
                <w:szCs w:val="13"/>
                <w:color w:val="auto"/>
              </w:rPr>
            </w:pPr>
          </w:p>
        </w:tc>
        <w:tc>
          <w:tcPr>
            <w:tcW w:w="2280" w:type="dxa"/>
            <w:vAlign w:val="bottom"/>
            <w:tcBorders>
              <w:right w:val="single" w:sz="8" w:color="auto"/>
            </w:tcBorders>
            <w:vMerge w:val="continue"/>
          </w:tcPr>
          <w:p>
            <w:pPr>
              <w:spacing w:after="0"/>
              <w:rPr>
                <w:sz w:val="13"/>
                <w:szCs w:val="13"/>
                <w:color w:val="auto"/>
              </w:rPr>
            </w:pPr>
          </w:p>
        </w:tc>
        <w:tc>
          <w:tcPr>
            <w:tcW w:w="100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6"/>
                <w:szCs w:val="26"/>
                <w:color w:val="auto"/>
                <w:w w:val="96"/>
              </w:rPr>
              <w:t>оценки</w:t>
            </w:r>
          </w:p>
        </w:tc>
        <w:tc>
          <w:tcPr>
            <w:tcW w:w="140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6"/>
                <w:szCs w:val="26"/>
                <w:color w:val="auto"/>
                <w:w w:val="95"/>
              </w:rPr>
              <w:t>оценки)</w:t>
            </w:r>
          </w:p>
        </w:tc>
        <w:tc>
          <w:tcPr>
            <w:tcW w:w="164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6"/>
                <w:szCs w:val="26"/>
                <w:color w:val="auto"/>
                <w:w w:val="95"/>
              </w:rPr>
              <w:t>оценки)</w:t>
            </w:r>
          </w:p>
        </w:tc>
        <w:tc>
          <w:tcPr>
            <w:tcW w:w="154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6"/>
                <w:szCs w:val="26"/>
                <w:color w:val="auto"/>
                <w:w w:val="95"/>
              </w:rPr>
              <w:t>оценки)</w:t>
            </w:r>
          </w:p>
        </w:tc>
        <w:tc>
          <w:tcPr>
            <w:tcW w:w="0" w:type="dxa"/>
            <w:vAlign w:val="bottom"/>
          </w:tcPr>
          <w:p>
            <w:pPr>
              <w:spacing w:after="0"/>
              <w:rPr>
                <w:sz w:val="1"/>
                <w:szCs w:val="1"/>
                <w:color w:val="auto"/>
              </w:rPr>
            </w:pPr>
          </w:p>
        </w:tc>
      </w:tr>
      <w:tr>
        <w:trPr>
          <w:trHeight w:val="149"/>
        </w:trPr>
        <w:tc>
          <w:tcPr>
            <w:tcW w:w="1680" w:type="dxa"/>
            <w:vAlign w:val="bottom"/>
            <w:tcBorders>
              <w:left w:val="single" w:sz="8" w:color="auto"/>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6"/>
                <w:szCs w:val="26"/>
                <w:color w:val="auto"/>
                <w:w w:val="95"/>
              </w:rPr>
              <w:t>корректиро-</w:t>
            </w:r>
          </w:p>
        </w:tc>
        <w:tc>
          <w:tcPr>
            <w:tcW w:w="2280" w:type="dxa"/>
            <w:vAlign w:val="bottom"/>
            <w:tcBorders>
              <w:right w:val="single" w:sz="8" w:color="auto"/>
            </w:tcBorders>
          </w:tcPr>
          <w:p>
            <w:pPr>
              <w:spacing w:after="0"/>
              <w:rPr>
                <w:sz w:val="12"/>
                <w:szCs w:val="12"/>
                <w:color w:val="auto"/>
              </w:rPr>
            </w:pPr>
          </w:p>
        </w:tc>
        <w:tc>
          <w:tcPr>
            <w:tcW w:w="1000" w:type="dxa"/>
            <w:vAlign w:val="bottom"/>
            <w:tcBorders>
              <w:right w:val="single" w:sz="8" w:color="auto"/>
            </w:tcBorders>
            <w:vMerge w:val="continue"/>
          </w:tcPr>
          <w:p>
            <w:pPr>
              <w:spacing w:after="0"/>
              <w:rPr>
                <w:sz w:val="12"/>
                <w:szCs w:val="12"/>
                <w:color w:val="auto"/>
              </w:rPr>
            </w:pPr>
          </w:p>
        </w:tc>
        <w:tc>
          <w:tcPr>
            <w:tcW w:w="1400" w:type="dxa"/>
            <w:vAlign w:val="bottom"/>
            <w:tcBorders>
              <w:right w:val="single" w:sz="8" w:color="auto"/>
            </w:tcBorders>
            <w:vMerge w:val="continue"/>
          </w:tcPr>
          <w:p>
            <w:pPr>
              <w:spacing w:after="0"/>
              <w:rPr>
                <w:sz w:val="12"/>
                <w:szCs w:val="12"/>
                <w:color w:val="auto"/>
              </w:rPr>
            </w:pPr>
          </w:p>
        </w:tc>
        <w:tc>
          <w:tcPr>
            <w:tcW w:w="1640" w:type="dxa"/>
            <w:vAlign w:val="bottom"/>
            <w:tcBorders>
              <w:right w:val="single" w:sz="8" w:color="auto"/>
            </w:tcBorders>
            <w:vMerge w:val="continue"/>
          </w:tcPr>
          <w:p>
            <w:pPr>
              <w:spacing w:after="0"/>
              <w:rPr>
                <w:sz w:val="12"/>
                <w:szCs w:val="12"/>
                <w:color w:val="auto"/>
              </w:rPr>
            </w:pPr>
          </w:p>
        </w:tc>
        <w:tc>
          <w:tcPr>
            <w:tcW w:w="1540" w:type="dxa"/>
            <w:vAlign w:val="bottom"/>
            <w:tcBorders>
              <w:right w:val="single" w:sz="8" w:color="auto"/>
            </w:tcBorders>
            <w:vMerge w:val="continue"/>
          </w:tcPr>
          <w:p>
            <w:pPr>
              <w:spacing w:after="0"/>
              <w:rPr>
                <w:sz w:val="12"/>
                <w:szCs w:val="12"/>
                <w:color w:val="auto"/>
              </w:rPr>
            </w:pPr>
          </w:p>
        </w:tc>
        <w:tc>
          <w:tcPr>
            <w:tcW w:w="0" w:type="dxa"/>
            <w:vAlign w:val="bottom"/>
          </w:tcPr>
          <w:p>
            <w:pPr>
              <w:spacing w:after="0"/>
              <w:rPr>
                <w:sz w:val="1"/>
                <w:szCs w:val="1"/>
                <w:color w:val="auto"/>
              </w:rPr>
            </w:pPr>
          </w:p>
        </w:tc>
      </w:tr>
      <w:tr>
        <w:trPr>
          <w:trHeight w:val="150"/>
        </w:trPr>
        <w:tc>
          <w:tcPr>
            <w:tcW w:w="1680" w:type="dxa"/>
            <w:vAlign w:val="bottom"/>
            <w:tcBorders>
              <w:left w:val="single" w:sz="8" w:color="auto"/>
              <w:right w:val="single" w:sz="8" w:color="auto"/>
            </w:tcBorders>
            <w:vMerge w:val="continue"/>
          </w:tcPr>
          <w:p>
            <w:pPr>
              <w:spacing w:after="0"/>
              <w:rPr>
                <w:sz w:val="13"/>
                <w:szCs w:val="13"/>
                <w:color w:val="auto"/>
              </w:rPr>
            </w:pPr>
          </w:p>
        </w:tc>
        <w:tc>
          <w:tcPr>
            <w:tcW w:w="2280" w:type="dxa"/>
            <w:vAlign w:val="bottom"/>
            <w:tcBorders>
              <w:right w:val="single" w:sz="8" w:color="auto"/>
            </w:tcBorders>
          </w:tcPr>
          <w:p>
            <w:pPr>
              <w:spacing w:after="0"/>
              <w:rPr>
                <w:sz w:val="13"/>
                <w:szCs w:val="13"/>
                <w:color w:val="auto"/>
              </w:rPr>
            </w:pPr>
          </w:p>
        </w:tc>
        <w:tc>
          <w:tcPr>
            <w:tcW w:w="1000" w:type="dxa"/>
            <w:vAlign w:val="bottom"/>
            <w:tcBorders>
              <w:right w:val="single" w:sz="8" w:color="auto"/>
            </w:tcBorders>
          </w:tcPr>
          <w:p>
            <w:pPr>
              <w:spacing w:after="0"/>
              <w:rPr>
                <w:sz w:val="13"/>
                <w:szCs w:val="13"/>
                <w:color w:val="auto"/>
              </w:rPr>
            </w:pPr>
          </w:p>
        </w:tc>
        <w:tc>
          <w:tcPr>
            <w:tcW w:w="140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6"/>
                <w:szCs w:val="26"/>
                <w:color w:val="auto"/>
              </w:rPr>
              <w:t>№1</w:t>
            </w:r>
          </w:p>
        </w:tc>
        <w:tc>
          <w:tcPr>
            <w:tcW w:w="164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6"/>
                <w:szCs w:val="26"/>
                <w:color w:val="auto"/>
              </w:rPr>
              <w:t>№2</w:t>
            </w:r>
          </w:p>
        </w:tc>
        <w:tc>
          <w:tcPr>
            <w:tcW w:w="154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6"/>
                <w:szCs w:val="26"/>
                <w:color w:val="auto"/>
              </w:rPr>
              <w:t>№3</w:t>
            </w:r>
          </w:p>
        </w:tc>
        <w:tc>
          <w:tcPr>
            <w:tcW w:w="0" w:type="dxa"/>
            <w:vAlign w:val="bottom"/>
          </w:tcPr>
          <w:p>
            <w:pPr>
              <w:spacing w:after="0"/>
              <w:rPr>
                <w:sz w:val="1"/>
                <w:szCs w:val="1"/>
                <w:color w:val="auto"/>
              </w:rPr>
            </w:pPr>
          </w:p>
        </w:tc>
      </w:tr>
      <w:tr>
        <w:trPr>
          <w:trHeight w:val="189"/>
        </w:trPr>
        <w:tc>
          <w:tcPr>
            <w:tcW w:w="1680" w:type="dxa"/>
            <w:vAlign w:val="bottom"/>
            <w:tcBorders>
              <w:left w:val="single" w:sz="8" w:color="auto"/>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6"/>
                <w:szCs w:val="26"/>
                <w:color w:val="auto"/>
                <w:w w:val="94"/>
              </w:rPr>
              <w:t>вок</w:t>
            </w:r>
          </w:p>
        </w:tc>
        <w:tc>
          <w:tcPr>
            <w:tcW w:w="2280" w:type="dxa"/>
            <w:vAlign w:val="bottom"/>
            <w:tcBorders>
              <w:right w:val="single" w:sz="8" w:color="auto"/>
            </w:tcBorders>
          </w:tcPr>
          <w:p>
            <w:pPr>
              <w:spacing w:after="0"/>
              <w:rPr>
                <w:sz w:val="16"/>
                <w:szCs w:val="16"/>
                <w:color w:val="auto"/>
              </w:rPr>
            </w:pPr>
          </w:p>
        </w:tc>
        <w:tc>
          <w:tcPr>
            <w:tcW w:w="1000" w:type="dxa"/>
            <w:vAlign w:val="bottom"/>
            <w:tcBorders>
              <w:right w:val="single" w:sz="8" w:color="auto"/>
            </w:tcBorders>
          </w:tcPr>
          <w:p>
            <w:pPr>
              <w:spacing w:after="0"/>
              <w:rPr>
                <w:sz w:val="16"/>
                <w:szCs w:val="16"/>
                <w:color w:val="auto"/>
              </w:rPr>
            </w:pPr>
          </w:p>
        </w:tc>
        <w:tc>
          <w:tcPr>
            <w:tcW w:w="1400" w:type="dxa"/>
            <w:vAlign w:val="bottom"/>
            <w:tcBorders>
              <w:right w:val="single" w:sz="8" w:color="auto"/>
            </w:tcBorders>
            <w:vMerge w:val="continue"/>
          </w:tcPr>
          <w:p>
            <w:pPr>
              <w:spacing w:after="0"/>
              <w:rPr>
                <w:sz w:val="16"/>
                <w:szCs w:val="16"/>
                <w:color w:val="auto"/>
              </w:rPr>
            </w:pPr>
          </w:p>
        </w:tc>
        <w:tc>
          <w:tcPr>
            <w:tcW w:w="1640" w:type="dxa"/>
            <w:vAlign w:val="bottom"/>
            <w:tcBorders>
              <w:right w:val="single" w:sz="8" w:color="auto"/>
            </w:tcBorders>
            <w:vMerge w:val="continue"/>
          </w:tcPr>
          <w:p>
            <w:pPr>
              <w:spacing w:after="0"/>
              <w:rPr>
                <w:sz w:val="16"/>
                <w:szCs w:val="16"/>
                <w:color w:val="auto"/>
              </w:rPr>
            </w:pPr>
          </w:p>
        </w:tc>
        <w:tc>
          <w:tcPr>
            <w:tcW w:w="1540" w:type="dxa"/>
            <w:vAlign w:val="bottom"/>
            <w:tcBorders>
              <w:right w:val="single" w:sz="8" w:color="auto"/>
            </w:tcBorders>
            <w:vMerge w:val="continue"/>
          </w:tcPr>
          <w:p>
            <w:pPr>
              <w:spacing w:after="0"/>
              <w:rPr>
                <w:sz w:val="16"/>
                <w:szCs w:val="16"/>
                <w:color w:val="auto"/>
              </w:rPr>
            </w:pPr>
          </w:p>
        </w:tc>
        <w:tc>
          <w:tcPr>
            <w:tcW w:w="0" w:type="dxa"/>
            <w:vAlign w:val="bottom"/>
          </w:tcPr>
          <w:p>
            <w:pPr>
              <w:spacing w:after="0"/>
              <w:rPr>
                <w:sz w:val="1"/>
                <w:szCs w:val="1"/>
                <w:color w:val="auto"/>
              </w:rPr>
            </w:pPr>
          </w:p>
        </w:tc>
      </w:tr>
      <w:tr>
        <w:trPr>
          <w:trHeight w:val="131"/>
        </w:trPr>
        <w:tc>
          <w:tcPr>
            <w:tcW w:w="1680" w:type="dxa"/>
            <w:vAlign w:val="bottom"/>
            <w:tcBorders>
              <w:left w:val="single" w:sz="8" w:color="auto"/>
              <w:bottom w:val="single" w:sz="8" w:color="auto"/>
              <w:right w:val="single" w:sz="8" w:color="auto"/>
            </w:tcBorders>
            <w:vMerge w:val="continue"/>
          </w:tcPr>
          <w:p>
            <w:pPr>
              <w:spacing w:after="0"/>
              <w:rPr>
                <w:sz w:val="11"/>
                <w:szCs w:val="11"/>
                <w:color w:val="auto"/>
              </w:rPr>
            </w:pPr>
          </w:p>
        </w:tc>
        <w:tc>
          <w:tcPr>
            <w:tcW w:w="2280" w:type="dxa"/>
            <w:vAlign w:val="bottom"/>
            <w:tcBorders>
              <w:bottom w:val="single" w:sz="8" w:color="auto"/>
              <w:right w:val="single" w:sz="8" w:color="auto"/>
            </w:tcBorders>
          </w:tcPr>
          <w:p>
            <w:pPr>
              <w:spacing w:after="0"/>
              <w:rPr>
                <w:sz w:val="11"/>
                <w:szCs w:val="11"/>
                <w:color w:val="auto"/>
              </w:rPr>
            </w:pPr>
          </w:p>
        </w:tc>
        <w:tc>
          <w:tcPr>
            <w:tcW w:w="1000" w:type="dxa"/>
            <w:vAlign w:val="bottom"/>
            <w:tcBorders>
              <w:bottom w:val="single" w:sz="8" w:color="auto"/>
              <w:right w:val="single" w:sz="8" w:color="auto"/>
            </w:tcBorders>
          </w:tcPr>
          <w:p>
            <w:pPr>
              <w:spacing w:after="0"/>
              <w:rPr>
                <w:sz w:val="11"/>
                <w:szCs w:val="11"/>
                <w:color w:val="auto"/>
              </w:rPr>
            </w:pPr>
          </w:p>
        </w:tc>
        <w:tc>
          <w:tcPr>
            <w:tcW w:w="1400" w:type="dxa"/>
            <w:vAlign w:val="bottom"/>
            <w:tcBorders>
              <w:bottom w:val="single" w:sz="8" w:color="auto"/>
              <w:right w:val="single" w:sz="8" w:color="auto"/>
            </w:tcBorders>
          </w:tcPr>
          <w:p>
            <w:pPr>
              <w:spacing w:after="0"/>
              <w:rPr>
                <w:sz w:val="11"/>
                <w:szCs w:val="11"/>
                <w:color w:val="auto"/>
              </w:rPr>
            </w:pPr>
          </w:p>
        </w:tc>
        <w:tc>
          <w:tcPr>
            <w:tcW w:w="1640" w:type="dxa"/>
            <w:vAlign w:val="bottom"/>
            <w:tcBorders>
              <w:bottom w:val="single" w:sz="8" w:color="auto"/>
              <w:right w:val="single" w:sz="8" w:color="auto"/>
            </w:tcBorders>
          </w:tcPr>
          <w:p>
            <w:pPr>
              <w:spacing w:after="0"/>
              <w:rPr>
                <w:sz w:val="11"/>
                <w:szCs w:val="11"/>
                <w:color w:val="auto"/>
              </w:rPr>
            </w:pPr>
          </w:p>
        </w:tc>
        <w:tc>
          <w:tcPr>
            <w:tcW w:w="1540" w:type="dxa"/>
            <w:vAlign w:val="bottom"/>
            <w:tcBorders>
              <w:bottom w:val="single" w:sz="8" w:color="auto"/>
              <w:right w:val="single" w:sz="8" w:color="auto"/>
            </w:tcBorders>
          </w:tcPr>
          <w:p>
            <w:pPr>
              <w:spacing w:after="0"/>
              <w:rPr>
                <w:sz w:val="11"/>
                <w:szCs w:val="11"/>
                <w:color w:val="auto"/>
              </w:rPr>
            </w:pPr>
          </w:p>
        </w:tc>
        <w:tc>
          <w:tcPr>
            <w:tcW w:w="0" w:type="dxa"/>
            <w:vAlign w:val="bottom"/>
          </w:tcPr>
          <w:p>
            <w:pPr>
              <w:spacing w:after="0"/>
              <w:rPr>
                <w:sz w:val="1"/>
                <w:szCs w:val="1"/>
                <w:color w:val="auto"/>
              </w:rPr>
            </w:pPr>
          </w:p>
        </w:tc>
      </w:tr>
      <w:tr>
        <w:trPr>
          <w:trHeight w:val="268"/>
        </w:trPr>
        <w:tc>
          <w:tcPr>
            <w:tcW w:w="1680" w:type="dxa"/>
            <w:vAlign w:val="bottom"/>
            <w:tcBorders>
              <w:left w:val="single" w:sz="8" w:color="auto"/>
              <w:right w:val="single" w:sz="8" w:color="auto"/>
            </w:tcBorders>
          </w:tcPr>
          <w:p>
            <w:pPr>
              <w:ind w:left="40"/>
              <w:spacing w:after="0" w:line="268" w:lineRule="exact"/>
              <w:rPr>
                <w:sz w:val="20"/>
                <w:szCs w:val="20"/>
                <w:color w:val="auto"/>
              </w:rPr>
            </w:pPr>
            <w:r>
              <w:rPr>
                <w:rFonts w:ascii="Times New Roman" w:cs="Times New Roman" w:eastAsia="Times New Roman" w:hAnsi="Times New Roman"/>
                <w:sz w:val="26"/>
                <w:szCs w:val="26"/>
                <w:color w:val="auto"/>
              </w:rPr>
              <w:t>1 - на дату</w:t>
            </w:r>
          </w:p>
        </w:tc>
        <w:tc>
          <w:tcPr>
            <w:tcW w:w="2280" w:type="dxa"/>
            <w:vAlign w:val="bottom"/>
            <w:tcBorders>
              <w:right w:val="single" w:sz="8" w:color="auto"/>
            </w:tcBorders>
          </w:tcPr>
          <w:p>
            <w:pPr>
              <w:spacing w:after="0" w:line="268" w:lineRule="exact"/>
              <w:rPr>
                <w:sz w:val="20"/>
                <w:szCs w:val="20"/>
                <w:color w:val="auto"/>
              </w:rPr>
            </w:pPr>
            <w:r>
              <w:rPr>
                <w:rFonts w:ascii="Times New Roman" w:cs="Times New Roman" w:eastAsia="Times New Roman" w:hAnsi="Times New Roman"/>
                <w:sz w:val="26"/>
                <w:szCs w:val="26"/>
                <w:color w:val="auto"/>
              </w:rPr>
              <w:t>Цена, руб.</w:t>
            </w:r>
          </w:p>
        </w:tc>
        <w:tc>
          <w:tcPr>
            <w:tcW w:w="1000" w:type="dxa"/>
            <w:vAlign w:val="bottom"/>
            <w:tcBorders>
              <w:right w:val="single" w:sz="8" w:color="auto"/>
            </w:tcBorders>
          </w:tcPr>
          <w:p>
            <w:pPr>
              <w:spacing w:after="0"/>
              <w:rPr>
                <w:sz w:val="23"/>
                <w:szCs w:val="23"/>
                <w:color w:val="auto"/>
              </w:rPr>
            </w:pPr>
          </w:p>
        </w:tc>
        <w:tc>
          <w:tcPr>
            <w:tcW w:w="1400" w:type="dxa"/>
            <w:vAlign w:val="bottom"/>
            <w:tcBorders>
              <w:right w:val="single" w:sz="8" w:color="auto"/>
            </w:tcBorders>
          </w:tcPr>
          <w:p>
            <w:pPr>
              <w:jc w:val="center"/>
              <w:spacing w:after="0" w:line="268" w:lineRule="exact"/>
              <w:rPr>
                <w:sz w:val="20"/>
                <w:szCs w:val="20"/>
                <w:color w:val="auto"/>
              </w:rPr>
            </w:pPr>
            <w:r>
              <w:rPr>
                <w:rFonts w:ascii="Times New Roman" w:cs="Times New Roman" w:eastAsia="Times New Roman" w:hAnsi="Times New Roman"/>
                <w:sz w:val="26"/>
                <w:szCs w:val="26"/>
                <w:color w:val="auto"/>
                <w:w w:val="97"/>
              </w:rPr>
              <w:t>233000</w:t>
            </w:r>
          </w:p>
        </w:tc>
        <w:tc>
          <w:tcPr>
            <w:tcW w:w="1640" w:type="dxa"/>
            <w:vAlign w:val="bottom"/>
            <w:tcBorders>
              <w:right w:val="single" w:sz="8" w:color="auto"/>
            </w:tcBorders>
          </w:tcPr>
          <w:p>
            <w:pPr>
              <w:jc w:val="center"/>
              <w:spacing w:after="0" w:line="268" w:lineRule="exact"/>
              <w:rPr>
                <w:sz w:val="20"/>
                <w:szCs w:val="20"/>
                <w:color w:val="auto"/>
              </w:rPr>
            </w:pPr>
            <w:r>
              <w:rPr>
                <w:rFonts w:ascii="Times New Roman" w:cs="Times New Roman" w:eastAsia="Times New Roman" w:hAnsi="Times New Roman"/>
                <w:sz w:val="26"/>
                <w:szCs w:val="26"/>
                <w:color w:val="auto"/>
                <w:w w:val="94"/>
              </w:rPr>
              <w:t>298000</w:t>
            </w:r>
          </w:p>
        </w:tc>
        <w:tc>
          <w:tcPr>
            <w:tcW w:w="1540" w:type="dxa"/>
            <w:vAlign w:val="bottom"/>
            <w:tcBorders>
              <w:right w:val="single" w:sz="8" w:color="auto"/>
            </w:tcBorders>
          </w:tcPr>
          <w:p>
            <w:pPr>
              <w:jc w:val="center"/>
              <w:spacing w:after="0" w:line="268" w:lineRule="exact"/>
              <w:rPr>
                <w:sz w:val="20"/>
                <w:szCs w:val="20"/>
                <w:color w:val="auto"/>
              </w:rPr>
            </w:pPr>
            <w:r>
              <w:rPr>
                <w:rFonts w:ascii="Times New Roman" w:cs="Times New Roman" w:eastAsia="Times New Roman" w:hAnsi="Times New Roman"/>
                <w:sz w:val="26"/>
                <w:szCs w:val="26"/>
                <w:color w:val="auto"/>
                <w:w w:val="94"/>
              </w:rPr>
              <w:t>175500</w:t>
            </w:r>
          </w:p>
        </w:tc>
        <w:tc>
          <w:tcPr>
            <w:tcW w:w="0" w:type="dxa"/>
            <w:vAlign w:val="bottom"/>
          </w:tcPr>
          <w:p>
            <w:pPr>
              <w:spacing w:after="0"/>
              <w:rPr>
                <w:sz w:val="1"/>
                <w:szCs w:val="1"/>
                <w:color w:val="auto"/>
              </w:rPr>
            </w:pPr>
          </w:p>
        </w:tc>
      </w:tr>
      <w:tr>
        <w:trPr>
          <w:trHeight w:val="20"/>
        </w:trPr>
        <w:tc>
          <w:tcPr>
            <w:tcW w:w="1680" w:type="dxa"/>
            <w:vAlign w:val="bottom"/>
            <w:tcBorders>
              <w:left w:val="single" w:sz="8" w:color="auto"/>
              <w:right w:val="single" w:sz="8" w:color="auto"/>
            </w:tcBorders>
            <w:vMerge w:val="restart"/>
          </w:tcPr>
          <w:p>
            <w:pPr>
              <w:ind w:left="40"/>
              <w:spacing w:after="0"/>
              <w:rPr>
                <w:sz w:val="20"/>
                <w:szCs w:val="20"/>
                <w:color w:val="auto"/>
              </w:rPr>
            </w:pPr>
            <w:r>
              <w:rPr>
                <w:rFonts w:ascii="Times New Roman" w:cs="Times New Roman" w:eastAsia="Times New Roman" w:hAnsi="Times New Roman"/>
                <w:sz w:val="26"/>
                <w:szCs w:val="26"/>
                <w:color w:val="auto"/>
              </w:rPr>
              <w:t>продажи (по</w:t>
            </w:r>
          </w:p>
        </w:tc>
        <w:tc>
          <w:tcPr>
            <w:tcW w:w="2280" w:type="dxa"/>
            <w:vAlign w:val="bottom"/>
            <w:tcBorders>
              <w:bottom w:val="single" w:sz="8" w:color="auto"/>
              <w:right w:val="single" w:sz="8" w:color="auto"/>
            </w:tcBorders>
          </w:tcPr>
          <w:p>
            <w:pPr>
              <w:spacing w:after="0" w:line="20" w:lineRule="exact"/>
              <w:rPr>
                <w:sz w:val="1"/>
                <w:szCs w:val="1"/>
                <w:color w:val="auto"/>
              </w:rPr>
            </w:pPr>
          </w:p>
        </w:tc>
        <w:tc>
          <w:tcPr>
            <w:tcW w:w="1000" w:type="dxa"/>
            <w:vAlign w:val="bottom"/>
            <w:tcBorders>
              <w:bottom w:val="single" w:sz="8" w:color="auto"/>
              <w:right w:val="single" w:sz="8" w:color="auto"/>
            </w:tcBorders>
          </w:tcPr>
          <w:p>
            <w:pPr>
              <w:spacing w:after="0" w:line="20" w:lineRule="exact"/>
              <w:rPr>
                <w:sz w:val="1"/>
                <w:szCs w:val="1"/>
                <w:color w:val="auto"/>
              </w:rPr>
            </w:pPr>
          </w:p>
        </w:tc>
        <w:tc>
          <w:tcPr>
            <w:tcW w:w="1400" w:type="dxa"/>
            <w:vAlign w:val="bottom"/>
            <w:tcBorders>
              <w:bottom w:val="single" w:sz="8" w:color="auto"/>
              <w:right w:val="single" w:sz="8" w:color="auto"/>
            </w:tcBorders>
          </w:tcPr>
          <w:p>
            <w:pPr>
              <w:spacing w:after="0" w:line="20" w:lineRule="exact"/>
              <w:rPr>
                <w:sz w:val="1"/>
                <w:szCs w:val="1"/>
                <w:color w:val="auto"/>
              </w:rPr>
            </w:pPr>
          </w:p>
        </w:tc>
        <w:tc>
          <w:tcPr>
            <w:tcW w:w="1640" w:type="dxa"/>
            <w:vAlign w:val="bottom"/>
            <w:tcBorders>
              <w:bottom w:val="single" w:sz="8" w:color="auto"/>
              <w:right w:val="single" w:sz="8" w:color="auto"/>
            </w:tcBorders>
          </w:tcPr>
          <w:p>
            <w:pPr>
              <w:spacing w:after="0" w:line="20" w:lineRule="exact"/>
              <w:rPr>
                <w:sz w:val="1"/>
                <w:szCs w:val="1"/>
                <w:color w:val="auto"/>
              </w:rPr>
            </w:pPr>
          </w:p>
        </w:tc>
        <w:tc>
          <w:tcPr>
            <w:tcW w:w="1540" w:type="dxa"/>
            <w:vAlign w:val="bottom"/>
            <w:tcBorders>
              <w:bottom w:val="single" w:sz="8" w:color="auto"/>
              <w:right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260"/>
        </w:trPr>
        <w:tc>
          <w:tcPr>
            <w:tcW w:w="1680" w:type="dxa"/>
            <w:vAlign w:val="bottom"/>
            <w:tcBorders>
              <w:left w:val="single" w:sz="8" w:color="auto"/>
              <w:right w:val="single" w:sz="8" w:color="auto"/>
            </w:tcBorders>
            <w:vMerge w:val="continue"/>
          </w:tcPr>
          <w:p>
            <w:pPr>
              <w:spacing w:after="0"/>
              <w:rPr>
                <w:sz w:val="22"/>
                <w:szCs w:val="22"/>
                <w:color w:val="auto"/>
              </w:rPr>
            </w:pPr>
          </w:p>
        </w:tc>
        <w:tc>
          <w:tcPr>
            <w:tcW w:w="2280" w:type="dxa"/>
            <w:vAlign w:val="bottom"/>
            <w:tcBorders>
              <w:right w:val="single" w:sz="8" w:color="auto"/>
            </w:tcBorders>
          </w:tcPr>
          <w:p>
            <w:pPr>
              <w:spacing w:after="0" w:line="260" w:lineRule="exact"/>
              <w:rPr>
                <w:sz w:val="20"/>
                <w:szCs w:val="20"/>
                <w:color w:val="auto"/>
              </w:rPr>
            </w:pPr>
            <w:r>
              <w:rPr>
                <w:rFonts w:ascii="Times New Roman" w:cs="Times New Roman" w:eastAsia="Times New Roman" w:hAnsi="Times New Roman"/>
                <w:sz w:val="26"/>
                <w:szCs w:val="26"/>
                <w:color w:val="auto"/>
              </w:rPr>
              <w:t>Время сделки</w:t>
            </w:r>
          </w:p>
        </w:tc>
        <w:tc>
          <w:tcPr>
            <w:tcW w:w="1000" w:type="dxa"/>
            <w:vAlign w:val="bottom"/>
            <w:tcBorders>
              <w:right w:val="single" w:sz="8" w:color="auto"/>
            </w:tcBorders>
          </w:tcPr>
          <w:p>
            <w:pPr>
              <w:jc w:val="center"/>
              <w:spacing w:after="0" w:line="260" w:lineRule="exact"/>
              <w:rPr>
                <w:sz w:val="20"/>
                <w:szCs w:val="20"/>
                <w:color w:val="auto"/>
              </w:rPr>
            </w:pPr>
            <w:r>
              <w:rPr>
                <w:rFonts w:ascii="Times New Roman" w:cs="Times New Roman" w:eastAsia="Times New Roman" w:hAnsi="Times New Roman"/>
                <w:sz w:val="26"/>
                <w:szCs w:val="26"/>
                <w:color w:val="auto"/>
                <w:w w:val="98"/>
              </w:rPr>
              <w:t>Май</w:t>
            </w:r>
          </w:p>
        </w:tc>
        <w:tc>
          <w:tcPr>
            <w:tcW w:w="1400" w:type="dxa"/>
            <w:vAlign w:val="bottom"/>
            <w:tcBorders>
              <w:right w:val="single" w:sz="8" w:color="auto"/>
            </w:tcBorders>
          </w:tcPr>
          <w:p>
            <w:pPr>
              <w:jc w:val="center"/>
              <w:spacing w:after="0" w:line="260" w:lineRule="exact"/>
              <w:rPr>
                <w:sz w:val="20"/>
                <w:szCs w:val="20"/>
                <w:color w:val="auto"/>
              </w:rPr>
            </w:pPr>
            <w:r>
              <w:rPr>
                <w:rFonts w:ascii="Times New Roman" w:cs="Times New Roman" w:eastAsia="Times New Roman" w:hAnsi="Times New Roman"/>
                <w:sz w:val="26"/>
                <w:szCs w:val="26"/>
                <w:color w:val="auto"/>
                <w:w w:val="95"/>
              </w:rPr>
              <w:t>Январь</w:t>
            </w:r>
          </w:p>
        </w:tc>
        <w:tc>
          <w:tcPr>
            <w:tcW w:w="1640" w:type="dxa"/>
            <w:vAlign w:val="bottom"/>
            <w:tcBorders>
              <w:right w:val="single" w:sz="8" w:color="auto"/>
            </w:tcBorders>
          </w:tcPr>
          <w:p>
            <w:pPr>
              <w:jc w:val="center"/>
              <w:spacing w:after="0" w:line="260" w:lineRule="exact"/>
              <w:rPr>
                <w:sz w:val="20"/>
                <w:szCs w:val="20"/>
                <w:color w:val="auto"/>
              </w:rPr>
            </w:pPr>
            <w:r>
              <w:rPr>
                <w:rFonts w:ascii="Times New Roman" w:cs="Times New Roman" w:eastAsia="Times New Roman" w:hAnsi="Times New Roman"/>
                <w:sz w:val="26"/>
                <w:szCs w:val="26"/>
                <w:color w:val="auto"/>
                <w:w w:val="95"/>
              </w:rPr>
              <w:t>Ноябрь</w:t>
            </w:r>
          </w:p>
        </w:tc>
        <w:tc>
          <w:tcPr>
            <w:tcW w:w="1540" w:type="dxa"/>
            <w:vAlign w:val="bottom"/>
            <w:tcBorders>
              <w:right w:val="single" w:sz="8" w:color="auto"/>
            </w:tcBorders>
          </w:tcPr>
          <w:p>
            <w:pPr>
              <w:jc w:val="center"/>
              <w:spacing w:after="0" w:line="260" w:lineRule="exact"/>
              <w:rPr>
                <w:sz w:val="20"/>
                <w:szCs w:val="20"/>
                <w:color w:val="auto"/>
              </w:rPr>
            </w:pPr>
            <w:r>
              <w:rPr>
                <w:rFonts w:ascii="Times New Roman" w:cs="Times New Roman" w:eastAsia="Times New Roman" w:hAnsi="Times New Roman"/>
                <w:sz w:val="26"/>
                <w:szCs w:val="26"/>
                <w:color w:val="auto"/>
                <w:w w:val="95"/>
              </w:rPr>
              <w:t>Февраль</w:t>
            </w:r>
          </w:p>
        </w:tc>
        <w:tc>
          <w:tcPr>
            <w:tcW w:w="0" w:type="dxa"/>
            <w:vAlign w:val="bottom"/>
          </w:tcPr>
          <w:p>
            <w:pPr>
              <w:spacing w:after="0"/>
              <w:rPr>
                <w:sz w:val="1"/>
                <w:szCs w:val="1"/>
                <w:color w:val="auto"/>
              </w:rPr>
            </w:pPr>
          </w:p>
        </w:tc>
      </w:tr>
      <w:tr>
        <w:trPr>
          <w:trHeight w:val="329"/>
        </w:trPr>
        <w:tc>
          <w:tcPr>
            <w:tcW w:w="1680" w:type="dxa"/>
            <w:vAlign w:val="bottom"/>
            <w:tcBorders>
              <w:left w:val="single" w:sz="8" w:color="auto"/>
              <w:right w:val="single" w:sz="8" w:color="auto"/>
            </w:tcBorders>
          </w:tcPr>
          <w:p>
            <w:pPr>
              <w:ind w:left="40"/>
              <w:spacing w:after="0"/>
              <w:rPr>
                <w:sz w:val="20"/>
                <w:szCs w:val="20"/>
                <w:color w:val="auto"/>
              </w:rPr>
            </w:pPr>
            <w:r>
              <w:rPr>
                <w:rFonts w:ascii="Times New Roman" w:cs="Times New Roman" w:eastAsia="Times New Roman" w:hAnsi="Times New Roman"/>
                <w:sz w:val="26"/>
                <w:szCs w:val="26"/>
                <w:color w:val="auto"/>
              </w:rPr>
              <w:t>индексу)</w:t>
            </w:r>
          </w:p>
        </w:tc>
        <w:tc>
          <w:tcPr>
            <w:tcW w:w="2280" w:type="dxa"/>
            <w:vAlign w:val="bottom"/>
            <w:tcBorders>
              <w:bottom w:val="single" w:sz="8" w:color="auto"/>
              <w:right w:val="single" w:sz="8" w:color="auto"/>
            </w:tcBorders>
          </w:tcPr>
          <w:p>
            <w:pPr>
              <w:spacing w:after="0"/>
              <w:rPr>
                <w:sz w:val="20"/>
                <w:szCs w:val="20"/>
                <w:color w:val="auto"/>
              </w:rPr>
            </w:pPr>
            <w:r>
              <w:rPr>
                <w:rFonts w:ascii="Times New Roman" w:cs="Times New Roman" w:eastAsia="Times New Roman" w:hAnsi="Times New Roman"/>
                <w:sz w:val="26"/>
                <w:szCs w:val="26"/>
                <w:color w:val="auto"/>
              </w:rPr>
              <w:t>(дата продажи)</w:t>
            </w:r>
          </w:p>
        </w:tc>
        <w:tc>
          <w:tcPr>
            <w:tcW w:w="100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6"/>
                <w:szCs w:val="26"/>
                <w:color w:val="auto"/>
                <w:w w:val="96"/>
              </w:rPr>
              <w:t>2000</w:t>
            </w:r>
          </w:p>
        </w:tc>
        <w:tc>
          <w:tcPr>
            <w:tcW w:w="140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6"/>
                <w:szCs w:val="26"/>
                <w:color w:val="auto"/>
                <w:w w:val="96"/>
              </w:rPr>
              <w:t>2000</w:t>
            </w:r>
          </w:p>
        </w:tc>
        <w:tc>
          <w:tcPr>
            <w:tcW w:w="164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6"/>
                <w:szCs w:val="26"/>
                <w:color w:val="auto"/>
                <w:w w:val="96"/>
              </w:rPr>
              <w:t>1999</w:t>
            </w:r>
          </w:p>
        </w:tc>
        <w:tc>
          <w:tcPr>
            <w:tcW w:w="154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6"/>
                <w:szCs w:val="26"/>
                <w:color w:val="auto"/>
                <w:w w:val="96"/>
              </w:rPr>
              <w:t>2000</w:t>
            </w:r>
          </w:p>
        </w:tc>
        <w:tc>
          <w:tcPr>
            <w:tcW w:w="0" w:type="dxa"/>
            <w:vAlign w:val="bottom"/>
          </w:tcPr>
          <w:p>
            <w:pPr>
              <w:spacing w:after="0"/>
              <w:rPr>
                <w:sz w:val="1"/>
                <w:szCs w:val="1"/>
                <w:color w:val="auto"/>
              </w:rPr>
            </w:pPr>
          </w:p>
        </w:tc>
      </w:tr>
      <w:tr>
        <w:trPr>
          <w:trHeight w:val="269"/>
        </w:trPr>
        <w:tc>
          <w:tcPr>
            <w:tcW w:w="1680" w:type="dxa"/>
            <w:vAlign w:val="bottom"/>
            <w:tcBorders>
              <w:left w:val="single" w:sz="8" w:color="auto"/>
              <w:right w:val="single" w:sz="8" w:color="auto"/>
            </w:tcBorders>
          </w:tcPr>
          <w:p>
            <w:pPr>
              <w:spacing w:after="0"/>
              <w:rPr>
                <w:sz w:val="23"/>
                <w:szCs w:val="23"/>
                <w:color w:val="auto"/>
              </w:rPr>
            </w:pPr>
          </w:p>
        </w:tc>
        <w:tc>
          <w:tcPr>
            <w:tcW w:w="2280" w:type="dxa"/>
            <w:vAlign w:val="bottom"/>
            <w:tcBorders>
              <w:right w:val="single" w:sz="8" w:color="auto"/>
            </w:tcBorders>
          </w:tcPr>
          <w:p>
            <w:pPr>
              <w:spacing w:after="0" w:line="270" w:lineRule="exact"/>
              <w:rPr>
                <w:sz w:val="20"/>
                <w:szCs w:val="20"/>
                <w:color w:val="auto"/>
              </w:rPr>
            </w:pPr>
            <w:r>
              <w:rPr>
                <w:rFonts w:ascii="Times New Roman" w:cs="Times New Roman" w:eastAsia="Times New Roman" w:hAnsi="Times New Roman"/>
                <w:sz w:val="26"/>
                <w:szCs w:val="26"/>
                <w:color w:val="auto"/>
              </w:rPr>
              <w:t>Период от продажи</w:t>
            </w:r>
          </w:p>
        </w:tc>
        <w:tc>
          <w:tcPr>
            <w:tcW w:w="1000" w:type="dxa"/>
            <w:vAlign w:val="bottom"/>
            <w:tcBorders>
              <w:right w:val="single" w:sz="8" w:color="auto"/>
            </w:tcBorders>
          </w:tcPr>
          <w:p>
            <w:pPr>
              <w:spacing w:after="0"/>
              <w:rPr>
                <w:sz w:val="23"/>
                <w:szCs w:val="23"/>
                <w:color w:val="auto"/>
              </w:rPr>
            </w:pPr>
          </w:p>
        </w:tc>
        <w:tc>
          <w:tcPr>
            <w:tcW w:w="1400" w:type="dxa"/>
            <w:vAlign w:val="bottom"/>
            <w:tcBorders>
              <w:right w:val="single" w:sz="8" w:color="auto"/>
            </w:tcBorders>
          </w:tcPr>
          <w:p>
            <w:pPr>
              <w:jc w:val="center"/>
              <w:spacing w:after="0" w:line="270" w:lineRule="exact"/>
              <w:rPr>
                <w:sz w:val="20"/>
                <w:szCs w:val="20"/>
                <w:color w:val="auto"/>
              </w:rPr>
            </w:pPr>
            <w:r>
              <w:rPr>
                <w:rFonts w:ascii="Times New Roman" w:cs="Times New Roman" w:eastAsia="Times New Roman" w:hAnsi="Times New Roman"/>
                <w:sz w:val="26"/>
                <w:szCs w:val="26"/>
                <w:color w:val="auto"/>
                <w:w w:val="91"/>
              </w:rPr>
              <w:t>4</w:t>
            </w:r>
          </w:p>
        </w:tc>
        <w:tc>
          <w:tcPr>
            <w:tcW w:w="1640" w:type="dxa"/>
            <w:vAlign w:val="bottom"/>
            <w:tcBorders>
              <w:right w:val="single" w:sz="8" w:color="auto"/>
            </w:tcBorders>
          </w:tcPr>
          <w:p>
            <w:pPr>
              <w:jc w:val="center"/>
              <w:spacing w:after="0" w:line="270" w:lineRule="exact"/>
              <w:rPr>
                <w:sz w:val="20"/>
                <w:szCs w:val="20"/>
                <w:color w:val="auto"/>
              </w:rPr>
            </w:pPr>
            <w:r>
              <w:rPr>
                <w:rFonts w:ascii="Times New Roman" w:cs="Times New Roman" w:eastAsia="Times New Roman" w:hAnsi="Times New Roman"/>
                <w:sz w:val="26"/>
                <w:szCs w:val="26"/>
                <w:color w:val="auto"/>
              </w:rPr>
              <w:t>6</w:t>
            </w:r>
          </w:p>
        </w:tc>
        <w:tc>
          <w:tcPr>
            <w:tcW w:w="1540" w:type="dxa"/>
            <w:vAlign w:val="bottom"/>
            <w:tcBorders>
              <w:right w:val="single" w:sz="8" w:color="auto"/>
            </w:tcBorders>
          </w:tcPr>
          <w:p>
            <w:pPr>
              <w:jc w:val="center"/>
              <w:spacing w:after="0" w:line="270" w:lineRule="exact"/>
              <w:rPr>
                <w:sz w:val="20"/>
                <w:szCs w:val="20"/>
                <w:color w:val="auto"/>
              </w:rPr>
            </w:pPr>
            <w:r>
              <w:rPr>
                <w:rFonts w:ascii="Times New Roman" w:cs="Times New Roman" w:eastAsia="Times New Roman" w:hAnsi="Times New Roman"/>
                <w:sz w:val="26"/>
                <w:szCs w:val="26"/>
                <w:color w:val="auto"/>
                <w:w w:val="91"/>
              </w:rPr>
              <w:t>3</w:t>
            </w:r>
          </w:p>
        </w:tc>
        <w:tc>
          <w:tcPr>
            <w:tcW w:w="0" w:type="dxa"/>
            <w:vAlign w:val="bottom"/>
          </w:tcPr>
          <w:p>
            <w:pPr>
              <w:spacing w:after="0"/>
              <w:rPr>
                <w:sz w:val="1"/>
                <w:szCs w:val="1"/>
                <w:color w:val="auto"/>
              </w:rPr>
            </w:pPr>
          </w:p>
        </w:tc>
      </w:tr>
      <w:tr>
        <w:trPr>
          <w:trHeight w:val="319"/>
        </w:trPr>
        <w:tc>
          <w:tcPr>
            <w:tcW w:w="1680" w:type="dxa"/>
            <w:vAlign w:val="bottom"/>
            <w:tcBorders>
              <w:left w:val="single" w:sz="8" w:color="auto"/>
              <w:right w:val="single" w:sz="8" w:color="auto"/>
            </w:tcBorders>
          </w:tcPr>
          <w:p>
            <w:pPr>
              <w:spacing w:after="0"/>
              <w:rPr>
                <w:sz w:val="24"/>
                <w:szCs w:val="24"/>
                <w:color w:val="auto"/>
              </w:rPr>
            </w:pPr>
          </w:p>
        </w:tc>
        <w:tc>
          <w:tcPr>
            <w:tcW w:w="2280" w:type="dxa"/>
            <w:vAlign w:val="bottom"/>
            <w:tcBorders>
              <w:bottom w:val="single" w:sz="8" w:color="auto"/>
              <w:right w:val="single" w:sz="8" w:color="auto"/>
            </w:tcBorders>
          </w:tcPr>
          <w:p>
            <w:pPr>
              <w:spacing w:after="0"/>
              <w:rPr>
                <w:sz w:val="20"/>
                <w:szCs w:val="20"/>
                <w:color w:val="auto"/>
              </w:rPr>
            </w:pPr>
            <w:r>
              <w:rPr>
                <w:rFonts w:ascii="Times New Roman" w:cs="Times New Roman" w:eastAsia="Times New Roman" w:hAnsi="Times New Roman"/>
                <w:sz w:val="26"/>
                <w:szCs w:val="26"/>
                <w:color w:val="auto"/>
              </w:rPr>
              <w:t>до оценки, мес.</w:t>
            </w:r>
          </w:p>
        </w:tc>
        <w:tc>
          <w:tcPr>
            <w:tcW w:w="1000" w:type="dxa"/>
            <w:vAlign w:val="bottom"/>
            <w:tcBorders>
              <w:bottom w:val="single" w:sz="8" w:color="auto"/>
              <w:right w:val="single" w:sz="8" w:color="auto"/>
            </w:tcBorders>
          </w:tcPr>
          <w:p>
            <w:pPr>
              <w:spacing w:after="0"/>
              <w:rPr>
                <w:sz w:val="24"/>
                <w:szCs w:val="24"/>
                <w:color w:val="auto"/>
              </w:rPr>
            </w:pPr>
          </w:p>
        </w:tc>
        <w:tc>
          <w:tcPr>
            <w:tcW w:w="1400" w:type="dxa"/>
            <w:vAlign w:val="bottom"/>
            <w:tcBorders>
              <w:bottom w:val="single" w:sz="8" w:color="auto"/>
              <w:right w:val="single" w:sz="8" w:color="auto"/>
            </w:tcBorders>
          </w:tcPr>
          <w:p>
            <w:pPr>
              <w:spacing w:after="0"/>
              <w:rPr>
                <w:sz w:val="24"/>
                <w:szCs w:val="24"/>
                <w:color w:val="auto"/>
              </w:rPr>
            </w:pPr>
          </w:p>
        </w:tc>
        <w:tc>
          <w:tcPr>
            <w:tcW w:w="1640" w:type="dxa"/>
            <w:vAlign w:val="bottom"/>
            <w:tcBorders>
              <w:bottom w:val="single" w:sz="8" w:color="auto"/>
              <w:right w:val="single" w:sz="8" w:color="auto"/>
            </w:tcBorders>
          </w:tcPr>
          <w:p>
            <w:pPr>
              <w:spacing w:after="0"/>
              <w:rPr>
                <w:sz w:val="24"/>
                <w:szCs w:val="24"/>
                <w:color w:val="auto"/>
              </w:rPr>
            </w:pPr>
          </w:p>
        </w:tc>
        <w:tc>
          <w:tcPr>
            <w:tcW w:w="154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68"/>
        </w:trPr>
        <w:tc>
          <w:tcPr>
            <w:tcW w:w="1680" w:type="dxa"/>
            <w:vAlign w:val="bottom"/>
            <w:tcBorders>
              <w:left w:val="single" w:sz="8" w:color="auto"/>
              <w:right w:val="single" w:sz="8" w:color="auto"/>
            </w:tcBorders>
          </w:tcPr>
          <w:p>
            <w:pPr>
              <w:spacing w:after="0"/>
              <w:rPr>
                <w:sz w:val="23"/>
                <w:szCs w:val="23"/>
                <w:color w:val="auto"/>
              </w:rPr>
            </w:pPr>
          </w:p>
        </w:tc>
        <w:tc>
          <w:tcPr>
            <w:tcW w:w="2280" w:type="dxa"/>
            <w:vAlign w:val="bottom"/>
            <w:tcBorders>
              <w:right w:val="single" w:sz="8" w:color="auto"/>
            </w:tcBorders>
          </w:tcPr>
          <w:p>
            <w:pPr>
              <w:spacing w:after="0" w:line="268" w:lineRule="exact"/>
              <w:rPr>
                <w:sz w:val="20"/>
                <w:szCs w:val="20"/>
                <w:color w:val="auto"/>
              </w:rPr>
            </w:pPr>
            <w:r>
              <w:rPr>
                <w:rFonts w:ascii="Times New Roman" w:cs="Times New Roman" w:eastAsia="Times New Roman" w:hAnsi="Times New Roman"/>
                <w:sz w:val="26"/>
                <w:szCs w:val="26"/>
                <w:color w:val="auto"/>
              </w:rPr>
              <w:t>Корректир. ценовой</w:t>
            </w:r>
          </w:p>
        </w:tc>
        <w:tc>
          <w:tcPr>
            <w:tcW w:w="1000" w:type="dxa"/>
            <w:vAlign w:val="bottom"/>
            <w:tcBorders>
              <w:right w:val="single" w:sz="8" w:color="auto"/>
            </w:tcBorders>
          </w:tcPr>
          <w:p>
            <w:pPr>
              <w:spacing w:after="0"/>
              <w:rPr>
                <w:sz w:val="23"/>
                <w:szCs w:val="23"/>
                <w:color w:val="auto"/>
              </w:rPr>
            </w:pPr>
          </w:p>
        </w:tc>
        <w:tc>
          <w:tcPr>
            <w:tcW w:w="1400" w:type="dxa"/>
            <w:vAlign w:val="bottom"/>
            <w:tcBorders>
              <w:right w:val="single" w:sz="8" w:color="auto"/>
            </w:tcBorders>
          </w:tcPr>
          <w:p>
            <w:pPr>
              <w:jc w:val="center"/>
              <w:spacing w:after="0" w:line="268" w:lineRule="exact"/>
              <w:rPr>
                <w:sz w:val="20"/>
                <w:szCs w:val="20"/>
                <w:color w:val="auto"/>
              </w:rPr>
            </w:pPr>
            <w:r>
              <w:rPr>
                <w:rFonts w:ascii="Times New Roman" w:cs="Times New Roman" w:eastAsia="Times New Roman" w:hAnsi="Times New Roman"/>
                <w:sz w:val="26"/>
                <w:szCs w:val="26"/>
                <w:color w:val="auto"/>
                <w:w w:val="96"/>
              </w:rPr>
              <w:t>1+0,03+4=</w:t>
            </w:r>
          </w:p>
        </w:tc>
        <w:tc>
          <w:tcPr>
            <w:tcW w:w="1640" w:type="dxa"/>
            <w:vAlign w:val="bottom"/>
            <w:tcBorders>
              <w:right w:val="single" w:sz="8" w:color="auto"/>
            </w:tcBorders>
          </w:tcPr>
          <w:p>
            <w:pPr>
              <w:jc w:val="center"/>
              <w:spacing w:after="0" w:line="268" w:lineRule="exact"/>
              <w:rPr>
                <w:sz w:val="20"/>
                <w:szCs w:val="20"/>
                <w:color w:val="auto"/>
              </w:rPr>
            </w:pPr>
            <w:r>
              <w:rPr>
                <w:rFonts w:ascii="Times New Roman" w:cs="Times New Roman" w:eastAsia="Times New Roman" w:hAnsi="Times New Roman"/>
                <w:sz w:val="26"/>
                <w:szCs w:val="26"/>
                <w:color w:val="auto"/>
                <w:w w:val="96"/>
              </w:rPr>
              <w:t>1+0,03*6=</w:t>
            </w:r>
          </w:p>
        </w:tc>
        <w:tc>
          <w:tcPr>
            <w:tcW w:w="1540" w:type="dxa"/>
            <w:vAlign w:val="bottom"/>
            <w:tcBorders>
              <w:right w:val="single" w:sz="8" w:color="auto"/>
            </w:tcBorders>
          </w:tcPr>
          <w:p>
            <w:pPr>
              <w:jc w:val="center"/>
              <w:spacing w:after="0" w:line="268" w:lineRule="exact"/>
              <w:rPr>
                <w:sz w:val="20"/>
                <w:szCs w:val="20"/>
                <w:color w:val="auto"/>
              </w:rPr>
            </w:pPr>
            <w:r>
              <w:rPr>
                <w:rFonts w:ascii="Times New Roman" w:cs="Times New Roman" w:eastAsia="Times New Roman" w:hAnsi="Times New Roman"/>
                <w:sz w:val="26"/>
                <w:szCs w:val="26"/>
                <w:color w:val="auto"/>
                <w:w w:val="96"/>
              </w:rPr>
              <w:t>1+0,03*3=</w:t>
            </w:r>
          </w:p>
        </w:tc>
        <w:tc>
          <w:tcPr>
            <w:tcW w:w="0" w:type="dxa"/>
            <w:vAlign w:val="bottom"/>
          </w:tcPr>
          <w:p>
            <w:pPr>
              <w:spacing w:after="0"/>
              <w:rPr>
                <w:sz w:val="1"/>
                <w:szCs w:val="1"/>
                <w:color w:val="auto"/>
              </w:rPr>
            </w:pPr>
          </w:p>
        </w:tc>
      </w:tr>
      <w:tr>
        <w:trPr>
          <w:trHeight w:val="319"/>
        </w:trPr>
        <w:tc>
          <w:tcPr>
            <w:tcW w:w="1680" w:type="dxa"/>
            <w:vAlign w:val="bottom"/>
            <w:tcBorders>
              <w:left w:val="single" w:sz="8" w:color="auto"/>
              <w:right w:val="single" w:sz="8" w:color="auto"/>
            </w:tcBorders>
          </w:tcPr>
          <w:p>
            <w:pPr>
              <w:spacing w:after="0"/>
              <w:rPr>
                <w:sz w:val="24"/>
                <w:szCs w:val="24"/>
                <w:color w:val="auto"/>
              </w:rPr>
            </w:pPr>
          </w:p>
        </w:tc>
        <w:tc>
          <w:tcPr>
            <w:tcW w:w="2280" w:type="dxa"/>
            <w:vAlign w:val="bottom"/>
            <w:tcBorders>
              <w:bottom w:val="single" w:sz="8" w:color="auto"/>
              <w:right w:val="single" w:sz="8" w:color="auto"/>
            </w:tcBorders>
          </w:tcPr>
          <w:p>
            <w:pPr>
              <w:spacing w:after="0"/>
              <w:rPr>
                <w:sz w:val="20"/>
                <w:szCs w:val="20"/>
                <w:color w:val="auto"/>
              </w:rPr>
            </w:pPr>
            <w:r>
              <w:rPr>
                <w:rFonts w:ascii="Times New Roman" w:cs="Times New Roman" w:eastAsia="Times New Roman" w:hAnsi="Times New Roman"/>
                <w:sz w:val="26"/>
                <w:szCs w:val="26"/>
                <w:color w:val="auto"/>
              </w:rPr>
              <w:t>индекс</w:t>
            </w:r>
          </w:p>
        </w:tc>
        <w:tc>
          <w:tcPr>
            <w:tcW w:w="1000" w:type="dxa"/>
            <w:vAlign w:val="bottom"/>
            <w:tcBorders>
              <w:bottom w:val="single" w:sz="8" w:color="auto"/>
              <w:right w:val="single" w:sz="8" w:color="auto"/>
            </w:tcBorders>
          </w:tcPr>
          <w:p>
            <w:pPr>
              <w:spacing w:after="0"/>
              <w:rPr>
                <w:sz w:val="24"/>
                <w:szCs w:val="24"/>
                <w:color w:val="auto"/>
              </w:rPr>
            </w:pPr>
          </w:p>
        </w:tc>
        <w:tc>
          <w:tcPr>
            <w:tcW w:w="140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6"/>
                <w:szCs w:val="26"/>
                <w:color w:val="auto"/>
                <w:w w:val="96"/>
              </w:rPr>
              <w:t>=1,12</w:t>
            </w:r>
          </w:p>
        </w:tc>
        <w:tc>
          <w:tcPr>
            <w:tcW w:w="164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6"/>
                <w:szCs w:val="26"/>
                <w:color w:val="auto"/>
                <w:w w:val="96"/>
              </w:rPr>
              <w:t>=1,18</w:t>
            </w:r>
          </w:p>
        </w:tc>
        <w:tc>
          <w:tcPr>
            <w:tcW w:w="154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6"/>
                <w:szCs w:val="26"/>
                <w:color w:val="auto"/>
                <w:w w:val="96"/>
              </w:rPr>
              <w:t>=1,09</w:t>
            </w:r>
          </w:p>
        </w:tc>
        <w:tc>
          <w:tcPr>
            <w:tcW w:w="0" w:type="dxa"/>
            <w:vAlign w:val="bottom"/>
          </w:tcPr>
          <w:p>
            <w:pPr>
              <w:spacing w:after="0"/>
              <w:rPr>
                <w:sz w:val="1"/>
                <w:szCs w:val="1"/>
                <w:color w:val="auto"/>
              </w:rPr>
            </w:pPr>
          </w:p>
        </w:tc>
      </w:tr>
      <w:tr>
        <w:trPr>
          <w:trHeight w:val="269"/>
        </w:trPr>
        <w:tc>
          <w:tcPr>
            <w:tcW w:w="1680" w:type="dxa"/>
            <w:vAlign w:val="bottom"/>
            <w:tcBorders>
              <w:left w:val="single" w:sz="8" w:color="auto"/>
              <w:right w:val="single" w:sz="8" w:color="auto"/>
            </w:tcBorders>
          </w:tcPr>
          <w:p>
            <w:pPr>
              <w:spacing w:after="0"/>
              <w:rPr>
                <w:sz w:val="23"/>
                <w:szCs w:val="23"/>
                <w:color w:val="auto"/>
              </w:rPr>
            </w:pPr>
          </w:p>
        </w:tc>
        <w:tc>
          <w:tcPr>
            <w:tcW w:w="2280" w:type="dxa"/>
            <w:vAlign w:val="bottom"/>
            <w:tcBorders>
              <w:right w:val="single" w:sz="8" w:color="auto"/>
            </w:tcBorders>
          </w:tcPr>
          <w:p>
            <w:pPr>
              <w:spacing w:after="0" w:line="270" w:lineRule="exact"/>
              <w:rPr>
                <w:sz w:val="20"/>
                <w:szCs w:val="20"/>
                <w:color w:val="auto"/>
              </w:rPr>
            </w:pPr>
            <w:r>
              <w:rPr>
                <w:rFonts w:ascii="Times New Roman" w:cs="Times New Roman" w:eastAsia="Times New Roman" w:hAnsi="Times New Roman"/>
                <w:sz w:val="26"/>
                <w:szCs w:val="26"/>
                <w:color w:val="auto"/>
              </w:rPr>
              <w:t>Скорректированная</w:t>
            </w:r>
          </w:p>
        </w:tc>
        <w:tc>
          <w:tcPr>
            <w:tcW w:w="1000" w:type="dxa"/>
            <w:vAlign w:val="bottom"/>
            <w:tcBorders>
              <w:right w:val="single" w:sz="8" w:color="auto"/>
            </w:tcBorders>
          </w:tcPr>
          <w:p>
            <w:pPr>
              <w:spacing w:after="0"/>
              <w:rPr>
                <w:sz w:val="23"/>
                <w:szCs w:val="23"/>
                <w:color w:val="auto"/>
              </w:rPr>
            </w:pPr>
          </w:p>
        </w:tc>
        <w:tc>
          <w:tcPr>
            <w:tcW w:w="1400" w:type="dxa"/>
            <w:vAlign w:val="bottom"/>
            <w:tcBorders>
              <w:right w:val="single" w:sz="8" w:color="auto"/>
            </w:tcBorders>
          </w:tcPr>
          <w:p>
            <w:pPr>
              <w:jc w:val="center"/>
              <w:spacing w:after="0" w:line="270" w:lineRule="exact"/>
              <w:rPr>
                <w:sz w:val="20"/>
                <w:szCs w:val="20"/>
                <w:color w:val="auto"/>
              </w:rPr>
            </w:pPr>
            <w:r>
              <w:rPr>
                <w:rFonts w:ascii="Times New Roman" w:cs="Times New Roman" w:eastAsia="Times New Roman" w:hAnsi="Times New Roman"/>
                <w:sz w:val="26"/>
                <w:szCs w:val="26"/>
                <w:color w:val="auto"/>
                <w:w w:val="97"/>
              </w:rPr>
              <w:t>260960</w:t>
            </w:r>
          </w:p>
        </w:tc>
        <w:tc>
          <w:tcPr>
            <w:tcW w:w="1640" w:type="dxa"/>
            <w:vAlign w:val="bottom"/>
            <w:tcBorders>
              <w:right w:val="single" w:sz="8" w:color="auto"/>
            </w:tcBorders>
          </w:tcPr>
          <w:p>
            <w:pPr>
              <w:jc w:val="center"/>
              <w:spacing w:after="0" w:line="270" w:lineRule="exact"/>
              <w:rPr>
                <w:sz w:val="20"/>
                <w:szCs w:val="20"/>
                <w:color w:val="auto"/>
              </w:rPr>
            </w:pPr>
            <w:r>
              <w:rPr>
                <w:rFonts w:ascii="Times New Roman" w:cs="Times New Roman" w:eastAsia="Times New Roman" w:hAnsi="Times New Roman"/>
                <w:sz w:val="26"/>
                <w:szCs w:val="26"/>
                <w:color w:val="auto"/>
                <w:w w:val="94"/>
              </w:rPr>
              <w:t>351640</w:t>
            </w:r>
          </w:p>
        </w:tc>
        <w:tc>
          <w:tcPr>
            <w:tcW w:w="1540" w:type="dxa"/>
            <w:vAlign w:val="bottom"/>
            <w:tcBorders>
              <w:right w:val="single" w:sz="8" w:color="auto"/>
            </w:tcBorders>
          </w:tcPr>
          <w:p>
            <w:pPr>
              <w:jc w:val="center"/>
              <w:spacing w:after="0" w:line="270" w:lineRule="exact"/>
              <w:rPr>
                <w:sz w:val="20"/>
                <w:szCs w:val="20"/>
                <w:color w:val="auto"/>
              </w:rPr>
            </w:pPr>
            <w:r>
              <w:rPr>
                <w:rFonts w:ascii="Times New Roman" w:cs="Times New Roman" w:eastAsia="Times New Roman" w:hAnsi="Times New Roman"/>
                <w:sz w:val="26"/>
                <w:szCs w:val="26"/>
                <w:color w:val="auto"/>
                <w:w w:val="94"/>
              </w:rPr>
              <w:t>191295</w:t>
            </w:r>
          </w:p>
        </w:tc>
        <w:tc>
          <w:tcPr>
            <w:tcW w:w="0" w:type="dxa"/>
            <w:vAlign w:val="bottom"/>
          </w:tcPr>
          <w:p>
            <w:pPr>
              <w:spacing w:after="0"/>
              <w:rPr>
                <w:sz w:val="1"/>
                <w:szCs w:val="1"/>
                <w:color w:val="auto"/>
              </w:rPr>
            </w:pPr>
          </w:p>
        </w:tc>
      </w:tr>
      <w:tr>
        <w:trPr>
          <w:trHeight w:val="319"/>
        </w:trPr>
        <w:tc>
          <w:tcPr>
            <w:tcW w:w="1680" w:type="dxa"/>
            <w:vAlign w:val="bottom"/>
            <w:tcBorders>
              <w:left w:val="single" w:sz="8" w:color="auto"/>
              <w:bottom w:val="single" w:sz="8" w:color="auto"/>
              <w:right w:val="single" w:sz="8" w:color="auto"/>
            </w:tcBorders>
          </w:tcPr>
          <w:p>
            <w:pPr>
              <w:spacing w:after="0"/>
              <w:rPr>
                <w:sz w:val="24"/>
                <w:szCs w:val="24"/>
                <w:color w:val="auto"/>
              </w:rPr>
            </w:pPr>
          </w:p>
        </w:tc>
        <w:tc>
          <w:tcPr>
            <w:tcW w:w="2280" w:type="dxa"/>
            <w:vAlign w:val="bottom"/>
            <w:tcBorders>
              <w:bottom w:val="single" w:sz="8" w:color="auto"/>
              <w:right w:val="single" w:sz="8" w:color="auto"/>
            </w:tcBorders>
          </w:tcPr>
          <w:p>
            <w:pPr>
              <w:spacing w:after="0"/>
              <w:rPr>
                <w:sz w:val="20"/>
                <w:szCs w:val="20"/>
                <w:color w:val="auto"/>
              </w:rPr>
            </w:pPr>
            <w:r>
              <w:rPr>
                <w:rFonts w:ascii="Times New Roman" w:cs="Times New Roman" w:eastAsia="Times New Roman" w:hAnsi="Times New Roman"/>
                <w:sz w:val="26"/>
                <w:szCs w:val="26"/>
                <w:color w:val="auto"/>
              </w:rPr>
              <w:t>цена, руб.</w:t>
            </w:r>
          </w:p>
        </w:tc>
        <w:tc>
          <w:tcPr>
            <w:tcW w:w="1000" w:type="dxa"/>
            <w:vAlign w:val="bottom"/>
            <w:tcBorders>
              <w:bottom w:val="single" w:sz="8" w:color="auto"/>
              <w:right w:val="single" w:sz="8" w:color="auto"/>
            </w:tcBorders>
          </w:tcPr>
          <w:p>
            <w:pPr>
              <w:spacing w:after="0"/>
              <w:rPr>
                <w:sz w:val="24"/>
                <w:szCs w:val="24"/>
                <w:color w:val="auto"/>
              </w:rPr>
            </w:pPr>
          </w:p>
        </w:tc>
        <w:tc>
          <w:tcPr>
            <w:tcW w:w="1400" w:type="dxa"/>
            <w:vAlign w:val="bottom"/>
            <w:tcBorders>
              <w:bottom w:val="single" w:sz="8" w:color="auto"/>
              <w:right w:val="single" w:sz="8" w:color="auto"/>
            </w:tcBorders>
          </w:tcPr>
          <w:p>
            <w:pPr>
              <w:spacing w:after="0"/>
              <w:rPr>
                <w:sz w:val="24"/>
                <w:szCs w:val="24"/>
                <w:color w:val="auto"/>
              </w:rPr>
            </w:pPr>
          </w:p>
        </w:tc>
        <w:tc>
          <w:tcPr>
            <w:tcW w:w="1640" w:type="dxa"/>
            <w:vAlign w:val="bottom"/>
            <w:tcBorders>
              <w:bottom w:val="single" w:sz="8" w:color="auto"/>
              <w:right w:val="single" w:sz="8" w:color="auto"/>
            </w:tcBorders>
          </w:tcPr>
          <w:p>
            <w:pPr>
              <w:spacing w:after="0"/>
              <w:rPr>
                <w:sz w:val="24"/>
                <w:szCs w:val="24"/>
                <w:color w:val="auto"/>
              </w:rPr>
            </w:pPr>
          </w:p>
        </w:tc>
        <w:tc>
          <w:tcPr>
            <w:tcW w:w="154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68"/>
        </w:trPr>
        <w:tc>
          <w:tcPr>
            <w:tcW w:w="1680" w:type="dxa"/>
            <w:vAlign w:val="bottom"/>
            <w:tcBorders>
              <w:left w:val="single" w:sz="8" w:color="auto"/>
              <w:right w:val="single" w:sz="8" w:color="auto"/>
            </w:tcBorders>
          </w:tcPr>
          <w:p>
            <w:pPr>
              <w:ind w:left="40"/>
              <w:spacing w:after="0" w:line="268" w:lineRule="exact"/>
              <w:rPr>
                <w:sz w:val="20"/>
                <w:szCs w:val="20"/>
                <w:color w:val="auto"/>
              </w:rPr>
            </w:pPr>
            <w:r>
              <w:rPr>
                <w:rFonts w:ascii="Times New Roman" w:cs="Times New Roman" w:eastAsia="Times New Roman" w:hAnsi="Times New Roman"/>
                <w:sz w:val="26"/>
                <w:szCs w:val="26"/>
                <w:color w:val="auto"/>
              </w:rPr>
              <w:t>2 - корректи-</w:t>
            </w:r>
          </w:p>
        </w:tc>
        <w:tc>
          <w:tcPr>
            <w:tcW w:w="2280" w:type="dxa"/>
            <w:vAlign w:val="bottom"/>
            <w:tcBorders>
              <w:right w:val="single" w:sz="8" w:color="auto"/>
            </w:tcBorders>
          </w:tcPr>
          <w:p>
            <w:pPr>
              <w:spacing w:after="0" w:line="268" w:lineRule="exact"/>
              <w:rPr>
                <w:sz w:val="20"/>
                <w:szCs w:val="20"/>
                <w:color w:val="auto"/>
              </w:rPr>
            </w:pPr>
            <w:r>
              <w:rPr>
                <w:rFonts w:ascii="Times New Roman" w:cs="Times New Roman" w:eastAsia="Times New Roman" w:hAnsi="Times New Roman"/>
                <w:sz w:val="26"/>
                <w:szCs w:val="26"/>
                <w:color w:val="auto"/>
              </w:rPr>
              <w:t>Год выпуска</w:t>
            </w:r>
          </w:p>
        </w:tc>
        <w:tc>
          <w:tcPr>
            <w:tcW w:w="1000" w:type="dxa"/>
            <w:vAlign w:val="bottom"/>
            <w:tcBorders>
              <w:right w:val="single" w:sz="8" w:color="auto"/>
            </w:tcBorders>
          </w:tcPr>
          <w:p>
            <w:pPr>
              <w:spacing w:after="0"/>
              <w:rPr>
                <w:sz w:val="23"/>
                <w:szCs w:val="23"/>
                <w:color w:val="auto"/>
              </w:rPr>
            </w:pPr>
          </w:p>
        </w:tc>
        <w:tc>
          <w:tcPr>
            <w:tcW w:w="1400" w:type="dxa"/>
            <w:vAlign w:val="bottom"/>
            <w:tcBorders>
              <w:right w:val="single" w:sz="8" w:color="auto"/>
            </w:tcBorders>
          </w:tcPr>
          <w:p>
            <w:pPr>
              <w:jc w:val="center"/>
              <w:spacing w:after="0" w:line="268" w:lineRule="exact"/>
              <w:rPr>
                <w:sz w:val="20"/>
                <w:szCs w:val="20"/>
                <w:color w:val="auto"/>
              </w:rPr>
            </w:pPr>
            <w:r>
              <w:rPr>
                <w:rFonts w:ascii="Times New Roman" w:cs="Times New Roman" w:eastAsia="Times New Roman" w:hAnsi="Times New Roman"/>
                <w:sz w:val="26"/>
                <w:szCs w:val="26"/>
                <w:color w:val="auto"/>
                <w:w w:val="96"/>
              </w:rPr>
              <w:t>Конец 1996</w:t>
            </w:r>
          </w:p>
        </w:tc>
        <w:tc>
          <w:tcPr>
            <w:tcW w:w="1640" w:type="dxa"/>
            <w:vAlign w:val="bottom"/>
            <w:tcBorders>
              <w:right w:val="single" w:sz="8" w:color="auto"/>
            </w:tcBorders>
          </w:tcPr>
          <w:p>
            <w:pPr>
              <w:jc w:val="center"/>
              <w:spacing w:after="0" w:line="268" w:lineRule="exact"/>
              <w:rPr>
                <w:sz w:val="20"/>
                <w:szCs w:val="20"/>
                <w:color w:val="auto"/>
              </w:rPr>
            </w:pPr>
            <w:r>
              <w:rPr>
                <w:rFonts w:ascii="Times New Roman" w:cs="Times New Roman" w:eastAsia="Times New Roman" w:hAnsi="Times New Roman"/>
                <w:sz w:val="26"/>
                <w:szCs w:val="26"/>
                <w:color w:val="auto"/>
                <w:w w:val="96"/>
              </w:rPr>
              <w:t>Начало 1997</w:t>
            </w:r>
          </w:p>
        </w:tc>
        <w:tc>
          <w:tcPr>
            <w:tcW w:w="1540" w:type="dxa"/>
            <w:vAlign w:val="bottom"/>
            <w:tcBorders>
              <w:right w:val="single" w:sz="8" w:color="auto"/>
            </w:tcBorders>
          </w:tcPr>
          <w:p>
            <w:pPr>
              <w:jc w:val="center"/>
              <w:spacing w:after="0" w:line="268" w:lineRule="exact"/>
              <w:rPr>
                <w:sz w:val="20"/>
                <w:szCs w:val="20"/>
                <w:color w:val="auto"/>
              </w:rPr>
            </w:pPr>
            <w:r>
              <w:rPr>
                <w:rFonts w:ascii="Times New Roman" w:cs="Times New Roman" w:eastAsia="Times New Roman" w:hAnsi="Times New Roman"/>
                <w:sz w:val="26"/>
                <w:szCs w:val="26"/>
                <w:color w:val="auto"/>
                <w:w w:val="96"/>
              </w:rPr>
              <w:t>Начало 2000</w:t>
            </w:r>
          </w:p>
        </w:tc>
        <w:tc>
          <w:tcPr>
            <w:tcW w:w="0" w:type="dxa"/>
            <w:vAlign w:val="bottom"/>
          </w:tcPr>
          <w:p>
            <w:pPr>
              <w:spacing w:after="0"/>
              <w:rPr>
                <w:sz w:val="1"/>
                <w:szCs w:val="1"/>
                <w:color w:val="auto"/>
              </w:rPr>
            </w:pPr>
          </w:p>
        </w:tc>
      </w:tr>
      <w:tr>
        <w:trPr>
          <w:trHeight w:val="20"/>
        </w:trPr>
        <w:tc>
          <w:tcPr>
            <w:tcW w:w="1680" w:type="dxa"/>
            <w:vAlign w:val="bottom"/>
            <w:tcBorders>
              <w:left w:val="single" w:sz="8" w:color="auto"/>
              <w:right w:val="single" w:sz="8" w:color="auto"/>
            </w:tcBorders>
            <w:vMerge w:val="restart"/>
          </w:tcPr>
          <w:p>
            <w:pPr>
              <w:ind w:left="40"/>
              <w:spacing w:after="0"/>
              <w:rPr>
                <w:sz w:val="20"/>
                <w:szCs w:val="20"/>
                <w:color w:val="auto"/>
              </w:rPr>
            </w:pPr>
            <w:r>
              <w:rPr>
                <w:rFonts w:ascii="Times New Roman" w:cs="Times New Roman" w:eastAsia="Times New Roman" w:hAnsi="Times New Roman"/>
                <w:sz w:val="26"/>
                <w:szCs w:val="26"/>
                <w:color w:val="auto"/>
              </w:rPr>
              <w:t>ровка (на</w:t>
            </w:r>
          </w:p>
        </w:tc>
        <w:tc>
          <w:tcPr>
            <w:tcW w:w="2280" w:type="dxa"/>
            <w:vAlign w:val="bottom"/>
            <w:tcBorders>
              <w:bottom w:val="single" w:sz="8" w:color="auto"/>
              <w:right w:val="single" w:sz="8" w:color="auto"/>
            </w:tcBorders>
          </w:tcPr>
          <w:p>
            <w:pPr>
              <w:spacing w:after="0" w:line="20" w:lineRule="exact"/>
              <w:rPr>
                <w:sz w:val="1"/>
                <w:szCs w:val="1"/>
                <w:color w:val="auto"/>
              </w:rPr>
            </w:pPr>
          </w:p>
        </w:tc>
        <w:tc>
          <w:tcPr>
            <w:tcW w:w="1000" w:type="dxa"/>
            <w:vAlign w:val="bottom"/>
            <w:tcBorders>
              <w:bottom w:val="single" w:sz="8" w:color="auto"/>
              <w:right w:val="single" w:sz="8" w:color="auto"/>
            </w:tcBorders>
          </w:tcPr>
          <w:p>
            <w:pPr>
              <w:spacing w:after="0" w:line="20" w:lineRule="exact"/>
              <w:rPr>
                <w:sz w:val="1"/>
                <w:szCs w:val="1"/>
                <w:color w:val="auto"/>
              </w:rPr>
            </w:pPr>
          </w:p>
        </w:tc>
        <w:tc>
          <w:tcPr>
            <w:tcW w:w="1400" w:type="dxa"/>
            <w:vAlign w:val="bottom"/>
            <w:tcBorders>
              <w:bottom w:val="single" w:sz="8" w:color="auto"/>
              <w:right w:val="single" w:sz="8" w:color="auto"/>
            </w:tcBorders>
          </w:tcPr>
          <w:p>
            <w:pPr>
              <w:spacing w:after="0" w:line="20" w:lineRule="exact"/>
              <w:rPr>
                <w:sz w:val="1"/>
                <w:szCs w:val="1"/>
                <w:color w:val="auto"/>
              </w:rPr>
            </w:pPr>
          </w:p>
        </w:tc>
        <w:tc>
          <w:tcPr>
            <w:tcW w:w="1640" w:type="dxa"/>
            <w:vAlign w:val="bottom"/>
            <w:tcBorders>
              <w:bottom w:val="single" w:sz="8" w:color="auto"/>
              <w:right w:val="single" w:sz="8" w:color="auto"/>
            </w:tcBorders>
          </w:tcPr>
          <w:p>
            <w:pPr>
              <w:spacing w:after="0" w:line="20" w:lineRule="exact"/>
              <w:rPr>
                <w:sz w:val="1"/>
                <w:szCs w:val="1"/>
                <w:color w:val="auto"/>
              </w:rPr>
            </w:pPr>
          </w:p>
        </w:tc>
        <w:tc>
          <w:tcPr>
            <w:tcW w:w="1540" w:type="dxa"/>
            <w:vAlign w:val="bottom"/>
            <w:tcBorders>
              <w:bottom w:val="single" w:sz="8" w:color="auto"/>
              <w:right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260"/>
        </w:trPr>
        <w:tc>
          <w:tcPr>
            <w:tcW w:w="1680" w:type="dxa"/>
            <w:vAlign w:val="bottom"/>
            <w:tcBorders>
              <w:left w:val="single" w:sz="8" w:color="auto"/>
              <w:right w:val="single" w:sz="8" w:color="auto"/>
            </w:tcBorders>
            <w:vMerge w:val="continue"/>
          </w:tcPr>
          <w:p>
            <w:pPr>
              <w:spacing w:after="0"/>
              <w:rPr>
                <w:sz w:val="22"/>
                <w:szCs w:val="22"/>
                <w:color w:val="auto"/>
              </w:rPr>
            </w:pPr>
          </w:p>
        </w:tc>
        <w:tc>
          <w:tcPr>
            <w:tcW w:w="2280" w:type="dxa"/>
            <w:vAlign w:val="bottom"/>
            <w:tcBorders>
              <w:right w:val="single" w:sz="8" w:color="auto"/>
            </w:tcBorders>
          </w:tcPr>
          <w:p>
            <w:pPr>
              <w:spacing w:after="0" w:line="260" w:lineRule="exact"/>
              <w:rPr>
                <w:sz w:val="20"/>
                <w:szCs w:val="20"/>
                <w:color w:val="auto"/>
              </w:rPr>
            </w:pPr>
            <w:r>
              <w:rPr>
                <w:rFonts w:ascii="Times New Roman" w:cs="Times New Roman" w:eastAsia="Times New Roman" w:hAnsi="Times New Roman"/>
                <w:sz w:val="26"/>
                <w:szCs w:val="26"/>
                <w:color w:val="auto"/>
                <w:w w:val="99"/>
              </w:rPr>
              <w:t>Продолжительность</w:t>
            </w:r>
          </w:p>
        </w:tc>
        <w:tc>
          <w:tcPr>
            <w:tcW w:w="1000" w:type="dxa"/>
            <w:vAlign w:val="bottom"/>
            <w:tcBorders>
              <w:right w:val="single" w:sz="8" w:color="auto"/>
            </w:tcBorders>
          </w:tcPr>
          <w:p>
            <w:pPr>
              <w:spacing w:after="0"/>
              <w:rPr>
                <w:sz w:val="22"/>
                <w:szCs w:val="22"/>
                <w:color w:val="auto"/>
              </w:rPr>
            </w:pPr>
          </w:p>
        </w:tc>
        <w:tc>
          <w:tcPr>
            <w:tcW w:w="1400" w:type="dxa"/>
            <w:vAlign w:val="bottom"/>
            <w:tcBorders>
              <w:right w:val="single" w:sz="8" w:color="auto"/>
            </w:tcBorders>
          </w:tcPr>
          <w:p>
            <w:pPr>
              <w:jc w:val="center"/>
              <w:spacing w:after="0" w:line="260" w:lineRule="exact"/>
              <w:rPr>
                <w:sz w:val="20"/>
                <w:szCs w:val="20"/>
                <w:color w:val="auto"/>
              </w:rPr>
            </w:pPr>
            <w:r>
              <w:rPr>
                <w:rFonts w:ascii="Times New Roman" w:cs="Times New Roman" w:eastAsia="Times New Roman" w:hAnsi="Times New Roman"/>
                <w:sz w:val="26"/>
                <w:szCs w:val="26"/>
                <w:color w:val="auto"/>
                <w:w w:val="98"/>
              </w:rPr>
              <w:t>3,5</w:t>
            </w:r>
          </w:p>
        </w:tc>
        <w:tc>
          <w:tcPr>
            <w:tcW w:w="1640" w:type="dxa"/>
            <w:vAlign w:val="bottom"/>
            <w:tcBorders>
              <w:right w:val="single" w:sz="8" w:color="auto"/>
            </w:tcBorders>
          </w:tcPr>
          <w:p>
            <w:pPr>
              <w:jc w:val="center"/>
              <w:spacing w:after="0" w:line="260" w:lineRule="exact"/>
              <w:rPr>
                <w:sz w:val="20"/>
                <w:szCs w:val="20"/>
                <w:color w:val="auto"/>
              </w:rPr>
            </w:pPr>
            <w:r>
              <w:rPr>
                <w:rFonts w:ascii="Times New Roman" w:cs="Times New Roman" w:eastAsia="Times New Roman" w:hAnsi="Times New Roman"/>
                <w:sz w:val="26"/>
                <w:szCs w:val="26"/>
                <w:color w:val="auto"/>
                <w:w w:val="98"/>
              </w:rPr>
              <w:t>3,0</w:t>
            </w:r>
          </w:p>
        </w:tc>
        <w:tc>
          <w:tcPr>
            <w:tcW w:w="1540" w:type="dxa"/>
            <w:vAlign w:val="bottom"/>
            <w:tcBorders>
              <w:right w:val="single" w:sz="8" w:color="auto"/>
            </w:tcBorders>
          </w:tcPr>
          <w:p>
            <w:pPr>
              <w:jc w:val="center"/>
              <w:spacing w:after="0" w:line="260" w:lineRule="exact"/>
              <w:rPr>
                <w:sz w:val="20"/>
                <w:szCs w:val="20"/>
                <w:color w:val="auto"/>
              </w:rPr>
            </w:pPr>
            <w:r>
              <w:rPr>
                <w:rFonts w:ascii="Times New Roman" w:cs="Times New Roman" w:eastAsia="Times New Roman" w:hAnsi="Times New Roman"/>
                <w:sz w:val="26"/>
                <w:szCs w:val="26"/>
                <w:color w:val="auto"/>
              </w:rPr>
              <w:t>0</w:t>
            </w:r>
          </w:p>
        </w:tc>
        <w:tc>
          <w:tcPr>
            <w:tcW w:w="0" w:type="dxa"/>
            <w:vAlign w:val="bottom"/>
          </w:tcPr>
          <w:p>
            <w:pPr>
              <w:spacing w:after="0"/>
              <w:rPr>
                <w:sz w:val="1"/>
                <w:szCs w:val="1"/>
                <w:color w:val="auto"/>
              </w:rPr>
            </w:pPr>
          </w:p>
        </w:tc>
      </w:tr>
      <w:tr>
        <w:trPr>
          <w:trHeight w:val="329"/>
        </w:trPr>
        <w:tc>
          <w:tcPr>
            <w:tcW w:w="1680" w:type="dxa"/>
            <w:vAlign w:val="bottom"/>
            <w:tcBorders>
              <w:left w:val="single" w:sz="8" w:color="auto"/>
              <w:right w:val="single" w:sz="8" w:color="auto"/>
            </w:tcBorders>
          </w:tcPr>
          <w:p>
            <w:pPr>
              <w:ind w:left="40"/>
              <w:spacing w:after="0"/>
              <w:rPr>
                <w:sz w:val="20"/>
                <w:szCs w:val="20"/>
                <w:color w:val="auto"/>
              </w:rPr>
            </w:pPr>
            <w:r>
              <w:rPr>
                <w:rFonts w:ascii="Times New Roman" w:cs="Times New Roman" w:eastAsia="Times New Roman" w:hAnsi="Times New Roman"/>
                <w:sz w:val="26"/>
                <w:szCs w:val="26"/>
                <w:color w:val="auto"/>
              </w:rPr>
              <w:t>износ)</w:t>
            </w:r>
          </w:p>
        </w:tc>
        <w:tc>
          <w:tcPr>
            <w:tcW w:w="2280" w:type="dxa"/>
            <w:vAlign w:val="bottom"/>
            <w:tcBorders>
              <w:bottom w:val="single" w:sz="8" w:color="auto"/>
              <w:right w:val="single" w:sz="8" w:color="auto"/>
            </w:tcBorders>
          </w:tcPr>
          <w:p>
            <w:pPr>
              <w:spacing w:after="0"/>
              <w:rPr>
                <w:sz w:val="20"/>
                <w:szCs w:val="20"/>
                <w:color w:val="auto"/>
              </w:rPr>
            </w:pPr>
            <w:r>
              <w:rPr>
                <w:rFonts w:ascii="Times New Roman" w:cs="Times New Roman" w:eastAsia="Times New Roman" w:hAnsi="Times New Roman"/>
                <w:sz w:val="26"/>
                <w:szCs w:val="26"/>
                <w:color w:val="auto"/>
              </w:rPr>
              <w:t>эксплуатации, лет.</w:t>
            </w:r>
          </w:p>
        </w:tc>
        <w:tc>
          <w:tcPr>
            <w:tcW w:w="1000" w:type="dxa"/>
            <w:vAlign w:val="bottom"/>
            <w:tcBorders>
              <w:bottom w:val="single" w:sz="8" w:color="auto"/>
              <w:right w:val="single" w:sz="8" w:color="auto"/>
            </w:tcBorders>
          </w:tcPr>
          <w:p>
            <w:pPr>
              <w:spacing w:after="0"/>
              <w:rPr>
                <w:sz w:val="24"/>
                <w:szCs w:val="24"/>
                <w:color w:val="auto"/>
              </w:rPr>
            </w:pPr>
          </w:p>
        </w:tc>
        <w:tc>
          <w:tcPr>
            <w:tcW w:w="1400" w:type="dxa"/>
            <w:vAlign w:val="bottom"/>
            <w:tcBorders>
              <w:bottom w:val="single" w:sz="8" w:color="auto"/>
              <w:right w:val="single" w:sz="8" w:color="auto"/>
            </w:tcBorders>
          </w:tcPr>
          <w:p>
            <w:pPr>
              <w:spacing w:after="0"/>
              <w:rPr>
                <w:sz w:val="24"/>
                <w:szCs w:val="24"/>
                <w:color w:val="auto"/>
              </w:rPr>
            </w:pPr>
          </w:p>
        </w:tc>
        <w:tc>
          <w:tcPr>
            <w:tcW w:w="1640" w:type="dxa"/>
            <w:vAlign w:val="bottom"/>
            <w:tcBorders>
              <w:bottom w:val="single" w:sz="8" w:color="auto"/>
              <w:right w:val="single" w:sz="8" w:color="auto"/>
            </w:tcBorders>
          </w:tcPr>
          <w:p>
            <w:pPr>
              <w:spacing w:after="0"/>
              <w:rPr>
                <w:sz w:val="24"/>
                <w:szCs w:val="24"/>
                <w:color w:val="auto"/>
              </w:rPr>
            </w:pPr>
          </w:p>
        </w:tc>
        <w:tc>
          <w:tcPr>
            <w:tcW w:w="154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68"/>
        </w:trPr>
        <w:tc>
          <w:tcPr>
            <w:tcW w:w="1680" w:type="dxa"/>
            <w:vAlign w:val="bottom"/>
            <w:tcBorders>
              <w:left w:val="single" w:sz="8" w:color="auto"/>
              <w:right w:val="single" w:sz="8" w:color="auto"/>
            </w:tcBorders>
          </w:tcPr>
          <w:p>
            <w:pPr>
              <w:spacing w:after="0"/>
              <w:rPr>
                <w:sz w:val="23"/>
                <w:szCs w:val="23"/>
                <w:color w:val="auto"/>
              </w:rPr>
            </w:pPr>
          </w:p>
        </w:tc>
        <w:tc>
          <w:tcPr>
            <w:tcW w:w="2280" w:type="dxa"/>
            <w:vAlign w:val="bottom"/>
            <w:tcBorders>
              <w:right w:val="single" w:sz="8" w:color="auto"/>
            </w:tcBorders>
          </w:tcPr>
          <w:p>
            <w:pPr>
              <w:spacing w:after="0" w:line="268" w:lineRule="exact"/>
              <w:rPr>
                <w:sz w:val="20"/>
                <w:szCs w:val="20"/>
                <w:color w:val="auto"/>
              </w:rPr>
            </w:pPr>
            <w:r>
              <w:rPr>
                <w:rFonts w:ascii="Times New Roman" w:cs="Times New Roman" w:eastAsia="Times New Roman" w:hAnsi="Times New Roman"/>
                <w:sz w:val="26"/>
                <w:szCs w:val="26"/>
                <w:color w:val="auto"/>
              </w:rPr>
              <w:t>Износ при</w:t>
            </w:r>
          </w:p>
        </w:tc>
        <w:tc>
          <w:tcPr>
            <w:tcW w:w="1000" w:type="dxa"/>
            <w:vAlign w:val="bottom"/>
            <w:tcBorders>
              <w:right w:val="single" w:sz="8" w:color="auto"/>
            </w:tcBorders>
          </w:tcPr>
          <w:p>
            <w:pPr>
              <w:spacing w:after="0"/>
              <w:rPr>
                <w:sz w:val="23"/>
                <w:szCs w:val="23"/>
                <w:color w:val="auto"/>
              </w:rPr>
            </w:pPr>
          </w:p>
        </w:tc>
        <w:tc>
          <w:tcPr>
            <w:tcW w:w="1400" w:type="dxa"/>
            <w:vAlign w:val="bottom"/>
            <w:tcBorders>
              <w:right w:val="single" w:sz="8" w:color="auto"/>
            </w:tcBorders>
          </w:tcPr>
          <w:p>
            <w:pPr>
              <w:jc w:val="center"/>
              <w:spacing w:after="0" w:line="268" w:lineRule="exact"/>
              <w:rPr>
                <w:sz w:val="20"/>
                <w:szCs w:val="20"/>
                <w:color w:val="auto"/>
              </w:rPr>
            </w:pPr>
            <w:r>
              <w:rPr>
                <w:rFonts w:ascii="Times New Roman" w:cs="Times New Roman" w:eastAsia="Times New Roman" w:hAnsi="Times New Roman"/>
                <w:sz w:val="26"/>
                <w:szCs w:val="26"/>
                <w:color w:val="auto"/>
                <w:w w:val="96"/>
              </w:rPr>
              <w:t>100/150=</w:t>
            </w:r>
          </w:p>
        </w:tc>
        <w:tc>
          <w:tcPr>
            <w:tcW w:w="1640" w:type="dxa"/>
            <w:vAlign w:val="bottom"/>
            <w:tcBorders>
              <w:right w:val="single" w:sz="8" w:color="auto"/>
            </w:tcBorders>
          </w:tcPr>
          <w:p>
            <w:pPr>
              <w:jc w:val="center"/>
              <w:spacing w:after="0" w:line="268" w:lineRule="exact"/>
              <w:rPr>
                <w:sz w:val="20"/>
                <w:szCs w:val="20"/>
                <w:color w:val="auto"/>
              </w:rPr>
            </w:pPr>
            <w:r>
              <w:rPr>
                <w:rFonts w:ascii="Times New Roman" w:cs="Times New Roman" w:eastAsia="Times New Roman" w:hAnsi="Times New Roman"/>
                <w:sz w:val="26"/>
                <w:szCs w:val="26"/>
                <w:color w:val="auto"/>
                <w:w w:val="96"/>
              </w:rPr>
              <w:t>6,6*3=19,8</w:t>
            </w:r>
          </w:p>
        </w:tc>
        <w:tc>
          <w:tcPr>
            <w:tcW w:w="1540" w:type="dxa"/>
            <w:vAlign w:val="bottom"/>
            <w:tcBorders>
              <w:right w:val="single" w:sz="8" w:color="auto"/>
            </w:tcBorders>
          </w:tcPr>
          <w:p>
            <w:pPr>
              <w:jc w:val="center"/>
              <w:spacing w:after="0" w:line="268" w:lineRule="exact"/>
              <w:rPr>
                <w:sz w:val="20"/>
                <w:szCs w:val="20"/>
                <w:color w:val="auto"/>
              </w:rPr>
            </w:pPr>
            <w:r>
              <w:rPr>
                <w:rFonts w:ascii="Times New Roman" w:cs="Times New Roman" w:eastAsia="Times New Roman" w:hAnsi="Times New Roman"/>
                <w:sz w:val="26"/>
                <w:szCs w:val="26"/>
                <w:color w:val="auto"/>
              </w:rPr>
              <w:t>0</w:t>
            </w:r>
          </w:p>
        </w:tc>
        <w:tc>
          <w:tcPr>
            <w:tcW w:w="0" w:type="dxa"/>
            <w:vAlign w:val="bottom"/>
          </w:tcPr>
          <w:p>
            <w:pPr>
              <w:spacing w:after="0"/>
              <w:rPr>
                <w:sz w:val="1"/>
                <w:szCs w:val="1"/>
                <w:color w:val="auto"/>
              </w:rPr>
            </w:pPr>
          </w:p>
        </w:tc>
      </w:tr>
      <w:tr>
        <w:trPr>
          <w:trHeight w:val="300"/>
        </w:trPr>
        <w:tc>
          <w:tcPr>
            <w:tcW w:w="1680" w:type="dxa"/>
            <w:vAlign w:val="bottom"/>
            <w:tcBorders>
              <w:left w:val="single" w:sz="8" w:color="auto"/>
              <w:right w:val="single" w:sz="8" w:color="auto"/>
            </w:tcBorders>
          </w:tcPr>
          <w:p>
            <w:pPr>
              <w:spacing w:after="0"/>
              <w:rPr>
                <w:sz w:val="24"/>
                <w:szCs w:val="24"/>
                <w:color w:val="auto"/>
              </w:rPr>
            </w:pPr>
          </w:p>
        </w:tc>
        <w:tc>
          <w:tcPr>
            <w:tcW w:w="2280" w:type="dxa"/>
            <w:vAlign w:val="bottom"/>
            <w:tcBorders>
              <w:right w:val="single" w:sz="8" w:color="auto"/>
            </w:tcBorders>
          </w:tcPr>
          <w:p>
            <w:pPr>
              <w:spacing w:after="0"/>
              <w:rPr>
                <w:sz w:val="20"/>
                <w:szCs w:val="20"/>
                <w:color w:val="auto"/>
              </w:rPr>
            </w:pPr>
            <w:r>
              <w:rPr>
                <w:rFonts w:ascii="Times New Roman" w:cs="Times New Roman" w:eastAsia="Times New Roman" w:hAnsi="Times New Roman"/>
                <w:sz w:val="26"/>
                <w:szCs w:val="26"/>
                <w:color w:val="auto"/>
              </w:rPr>
              <w:t>нормативном сроке</w:t>
            </w:r>
          </w:p>
        </w:tc>
        <w:tc>
          <w:tcPr>
            <w:tcW w:w="1000" w:type="dxa"/>
            <w:vAlign w:val="bottom"/>
            <w:tcBorders>
              <w:right w:val="single" w:sz="8" w:color="auto"/>
            </w:tcBorders>
          </w:tcPr>
          <w:p>
            <w:pPr>
              <w:spacing w:after="0"/>
              <w:rPr>
                <w:sz w:val="24"/>
                <w:szCs w:val="24"/>
                <w:color w:val="auto"/>
              </w:rPr>
            </w:pPr>
          </w:p>
        </w:tc>
        <w:tc>
          <w:tcPr>
            <w:tcW w:w="140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6"/>
                <w:szCs w:val="26"/>
                <w:color w:val="auto"/>
                <w:w w:val="94"/>
              </w:rPr>
              <w:t>6,6*3,5=</w:t>
            </w:r>
          </w:p>
        </w:tc>
        <w:tc>
          <w:tcPr>
            <w:tcW w:w="1640" w:type="dxa"/>
            <w:vAlign w:val="bottom"/>
            <w:tcBorders>
              <w:right w:val="single" w:sz="8" w:color="auto"/>
            </w:tcBorders>
          </w:tcPr>
          <w:p>
            <w:pPr>
              <w:spacing w:after="0"/>
              <w:rPr>
                <w:sz w:val="24"/>
                <w:szCs w:val="24"/>
                <w:color w:val="auto"/>
              </w:rPr>
            </w:pPr>
          </w:p>
        </w:tc>
        <w:tc>
          <w:tcPr>
            <w:tcW w:w="154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19"/>
        </w:trPr>
        <w:tc>
          <w:tcPr>
            <w:tcW w:w="1680" w:type="dxa"/>
            <w:vAlign w:val="bottom"/>
            <w:tcBorders>
              <w:left w:val="single" w:sz="8" w:color="auto"/>
              <w:right w:val="single" w:sz="8" w:color="auto"/>
            </w:tcBorders>
          </w:tcPr>
          <w:p>
            <w:pPr>
              <w:spacing w:after="0"/>
              <w:rPr>
                <w:sz w:val="24"/>
                <w:szCs w:val="24"/>
                <w:color w:val="auto"/>
              </w:rPr>
            </w:pPr>
          </w:p>
        </w:tc>
        <w:tc>
          <w:tcPr>
            <w:tcW w:w="2280" w:type="dxa"/>
            <w:vAlign w:val="bottom"/>
            <w:tcBorders>
              <w:bottom w:val="single" w:sz="8" w:color="auto"/>
              <w:right w:val="single" w:sz="8" w:color="auto"/>
            </w:tcBorders>
          </w:tcPr>
          <w:p>
            <w:pPr>
              <w:spacing w:after="0"/>
              <w:rPr>
                <w:sz w:val="20"/>
                <w:szCs w:val="20"/>
                <w:color w:val="auto"/>
              </w:rPr>
            </w:pPr>
            <w:r>
              <w:rPr>
                <w:rFonts w:ascii="Times New Roman" w:cs="Times New Roman" w:eastAsia="Times New Roman" w:hAnsi="Times New Roman"/>
                <w:sz w:val="26"/>
                <w:szCs w:val="26"/>
                <w:color w:val="auto"/>
              </w:rPr>
              <w:t>службы 15 лет, %.</w:t>
            </w:r>
          </w:p>
        </w:tc>
        <w:tc>
          <w:tcPr>
            <w:tcW w:w="1000" w:type="dxa"/>
            <w:vAlign w:val="bottom"/>
            <w:tcBorders>
              <w:bottom w:val="single" w:sz="8" w:color="auto"/>
              <w:right w:val="single" w:sz="8" w:color="auto"/>
            </w:tcBorders>
          </w:tcPr>
          <w:p>
            <w:pPr>
              <w:spacing w:after="0"/>
              <w:rPr>
                <w:sz w:val="24"/>
                <w:szCs w:val="24"/>
                <w:color w:val="auto"/>
              </w:rPr>
            </w:pPr>
          </w:p>
        </w:tc>
        <w:tc>
          <w:tcPr>
            <w:tcW w:w="140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6"/>
                <w:szCs w:val="26"/>
                <w:color w:val="auto"/>
                <w:w w:val="96"/>
              </w:rPr>
              <w:t>=27,3</w:t>
            </w:r>
          </w:p>
        </w:tc>
        <w:tc>
          <w:tcPr>
            <w:tcW w:w="1640" w:type="dxa"/>
            <w:vAlign w:val="bottom"/>
            <w:tcBorders>
              <w:bottom w:val="single" w:sz="8" w:color="auto"/>
              <w:right w:val="single" w:sz="8" w:color="auto"/>
            </w:tcBorders>
          </w:tcPr>
          <w:p>
            <w:pPr>
              <w:spacing w:after="0"/>
              <w:rPr>
                <w:sz w:val="24"/>
                <w:szCs w:val="24"/>
                <w:color w:val="auto"/>
              </w:rPr>
            </w:pPr>
          </w:p>
        </w:tc>
        <w:tc>
          <w:tcPr>
            <w:tcW w:w="154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68"/>
        </w:trPr>
        <w:tc>
          <w:tcPr>
            <w:tcW w:w="1680" w:type="dxa"/>
            <w:vAlign w:val="bottom"/>
            <w:tcBorders>
              <w:left w:val="single" w:sz="8" w:color="auto"/>
              <w:right w:val="single" w:sz="8" w:color="auto"/>
            </w:tcBorders>
          </w:tcPr>
          <w:p>
            <w:pPr>
              <w:spacing w:after="0"/>
              <w:rPr>
                <w:sz w:val="23"/>
                <w:szCs w:val="23"/>
                <w:color w:val="auto"/>
              </w:rPr>
            </w:pPr>
          </w:p>
        </w:tc>
        <w:tc>
          <w:tcPr>
            <w:tcW w:w="2280" w:type="dxa"/>
            <w:vAlign w:val="bottom"/>
            <w:tcBorders>
              <w:right w:val="single" w:sz="8" w:color="auto"/>
            </w:tcBorders>
          </w:tcPr>
          <w:p>
            <w:pPr>
              <w:spacing w:after="0" w:line="268" w:lineRule="exact"/>
              <w:rPr>
                <w:sz w:val="20"/>
                <w:szCs w:val="20"/>
                <w:color w:val="auto"/>
              </w:rPr>
            </w:pPr>
            <w:r>
              <w:rPr>
                <w:rFonts w:ascii="Times New Roman" w:cs="Times New Roman" w:eastAsia="Times New Roman" w:hAnsi="Times New Roman"/>
                <w:sz w:val="26"/>
                <w:szCs w:val="26"/>
                <w:color w:val="auto"/>
              </w:rPr>
              <w:t>Коэффициент учёта</w:t>
            </w:r>
          </w:p>
        </w:tc>
        <w:tc>
          <w:tcPr>
            <w:tcW w:w="1000" w:type="dxa"/>
            <w:vAlign w:val="bottom"/>
            <w:tcBorders>
              <w:right w:val="single" w:sz="8" w:color="auto"/>
            </w:tcBorders>
          </w:tcPr>
          <w:p>
            <w:pPr>
              <w:spacing w:after="0"/>
              <w:rPr>
                <w:sz w:val="23"/>
                <w:szCs w:val="23"/>
                <w:color w:val="auto"/>
              </w:rPr>
            </w:pPr>
          </w:p>
        </w:tc>
        <w:tc>
          <w:tcPr>
            <w:tcW w:w="1400" w:type="dxa"/>
            <w:vAlign w:val="bottom"/>
            <w:tcBorders>
              <w:right w:val="single" w:sz="8" w:color="auto"/>
            </w:tcBorders>
          </w:tcPr>
          <w:p>
            <w:pPr>
              <w:jc w:val="center"/>
              <w:spacing w:after="0" w:line="268" w:lineRule="exact"/>
              <w:rPr>
                <w:sz w:val="20"/>
                <w:szCs w:val="20"/>
                <w:color w:val="auto"/>
              </w:rPr>
            </w:pPr>
            <w:r>
              <w:rPr>
                <w:rFonts w:ascii="Times New Roman" w:cs="Times New Roman" w:eastAsia="Times New Roman" w:hAnsi="Times New Roman"/>
                <w:sz w:val="26"/>
                <w:szCs w:val="26"/>
                <w:color w:val="auto"/>
                <w:w w:val="97"/>
              </w:rPr>
              <w:t>1-0</w:t>
            </w:r>
          </w:p>
        </w:tc>
        <w:tc>
          <w:tcPr>
            <w:tcW w:w="1640" w:type="dxa"/>
            <w:vAlign w:val="bottom"/>
            <w:tcBorders>
              <w:right w:val="single" w:sz="8" w:color="auto"/>
            </w:tcBorders>
          </w:tcPr>
          <w:p>
            <w:pPr>
              <w:jc w:val="center"/>
              <w:spacing w:after="0" w:line="268" w:lineRule="exact"/>
              <w:rPr>
                <w:sz w:val="20"/>
                <w:szCs w:val="20"/>
                <w:color w:val="auto"/>
              </w:rPr>
            </w:pPr>
            <w:r>
              <w:rPr>
                <w:rFonts w:ascii="Times New Roman" w:cs="Times New Roman" w:eastAsia="Times New Roman" w:hAnsi="Times New Roman"/>
                <w:sz w:val="26"/>
                <w:szCs w:val="26"/>
                <w:color w:val="auto"/>
                <w:w w:val="95"/>
              </w:rPr>
              <w:t>1-0,198/1-0,099</w:t>
            </w:r>
          </w:p>
        </w:tc>
        <w:tc>
          <w:tcPr>
            <w:tcW w:w="1540" w:type="dxa"/>
            <w:vAlign w:val="bottom"/>
            <w:tcBorders>
              <w:right w:val="single" w:sz="8" w:color="auto"/>
            </w:tcBorders>
          </w:tcPr>
          <w:p>
            <w:pPr>
              <w:jc w:val="center"/>
              <w:spacing w:after="0" w:line="268" w:lineRule="exact"/>
              <w:rPr>
                <w:sz w:val="20"/>
                <w:szCs w:val="20"/>
                <w:color w:val="auto"/>
              </w:rPr>
            </w:pPr>
            <w:r>
              <w:rPr>
                <w:rFonts w:ascii="Times New Roman" w:cs="Times New Roman" w:eastAsia="Times New Roman" w:hAnsi="Times New Roman"/>
                <w:sz w:val="26"/>
                <w:szCs w:val="26"/>
                <w:color w:val="auto"/>
              </w:rPr>
              <w:t>1</w:t>
            </w:r>
          </w:p>
        </w:tc>
        <w:tc>
          <w:tcPr>
            <w:tcW w:w="0" w:type="dxa"/>
            <w:vAlign w:val="bottom"/>
          </w:tcPr>
          <w:p>
            <w:pPr>
              <w:spacing w:after="0"/>
              <w:rPr>
                <w:sz w:val="1"/>
                <w:szCs w:val="1"/>
                <w:color w:val="auto"/>
              </w:rPr>
            </w:pPr>
          </w:p>
        </w:tc>
      </w:tr>
      <w:tr>
        <w:trPr>
          <w:trHeight w:val="319"/>
        </w:trPr>
        <w:tc>
          <w:tcPr>
            <w:tcW w:w="1680" w:type="dxa"/>
            <w:vAlign w:val="bottom"/>
            <w:tcBorders>
              <w:left w:val="single" w:sz="8" w:color="auto"/>
              <w:right w:val="single" w:sz="8" w:color="auto"/>
            </w:tcBorders>
          </w:tcPr>
          <w:p>
            <w:pPr>
              <w:spacing w:after="0"/>
              <w:rPr>
                <w:sz w:val="24"/>
                <w:szCs w:val="24"/>
                <w:color w:val="auto"/>
              </w:rPr>
            </w:pPr>
          </w:p>
        </w:tc>
        <w:tc>
          <w:tcPr>
            <w:tcW w:w="2280" w:type="dxa"/>
            <w:vAlign w:val="bottom"/>
            <w:tcBorders>
              <w:bottom w:val="single" w:sz="8" w:color="auto"/>
              <w:right w:val="single" w:sz="8" w:color="auto"/>
            </w:tcBorders>
          </w:tcPr>
          <w:p>
            <w:pPr>
              <w:spacing w:after="0"/>
              <w:rPr>
                <w:sz w:val="20"/>
                <w:szCs w:val="20"/>
                <w:color w:val="auto"/>
              </w:rPr>
            </w:pPr>
            <w:r>
              <w:rPr>
                <w:rFonts w:ascii="Times New Roman" w:cs="Times New Roman" w:eastAsia="Times New Roman" w:hAnsi="Times New Roman"/>
                <w:sz w:val="26"/>
                <w:szCs w:val="26"/>
                <w:color w:val="auto"/>
              </w:rPr>
              <w:t>физического износа</w:t>
            </w:r>
          </w:p>
        </w:tc>
        <w:tc>
          <w:tcPr>
            <w:tcW w:w="1000" w:type="dxa"/>
            <w:vAlign w:val="bottom"/>
            <w:tcBorders>
              <w:bottom w:val="single" w:sz="8" w:color="auto"/>
              <w:right w:val="single" w:sz="8" w:color="auto"/>
            </w:tcBorders>
          </w:tcPr>
          <w:p>
            <w:pPr>
              <w:spacing w:after="0"/>
              <w:rPr>
                <w:sz w:val="24"/>
                <w:szCs w:val="24"/>
                <w:color w:val="auto"/>
              </w:rPr>
            </w:pPr>
          </w:p>
        </w:tc>
        <w:tc>
          <w:tcPr>
            <w:tcW w:w="1400" w:type="dxa"/>
            <w:vAlign w:val="bottom"/>
            <w:tcBorders>
              <w:bottom w:val="single" w:sz="8" w:color="auto"/>
              <w:right w:val="single" w:sz="8" w:color="auto"/>
            </w:tcBorders>
          </w:tcPr>
          <w:p>
            <w:pPr>
              <w:spacing w:after="0"/>
              <w:rPr>
                <w:sz w:val="24"/>
                <w:szCs w:val="24"/>
                <w:color w:val="auto"/>
              </w:rPr>
            </w:pPr>
          </w:p>
        </w:tc>
        <w:tc>
          <w:tcPr>
            <w:tcW w:w="1640" w:type="dxa"/>
            <w:vAlign w:val="bottom"/>
            <w:tcBorders>
              <w:bottom w:val="single" w:sz="8" w:color="auto"/>
              <w:right w:val="single" w:sz="8" w:color="auto"/>
            </w:tcBorders>
          </w:tcPr>
          <w:p>
            <w:pPr>
              <w:spacing w:after="0"/>
              <w:rPr>
                <w:sz w:val="24"/>
                <w:szCs w:val="24"/>
                <w:color w:val="auto"/>
              </w:rPr>
            </w:pPr>
          </w:p>
        </w:tc>
        <w:tc>
          <w:tcPr>
            <w:tcW w:w="154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69"/>
        </w:trPr>
        <w:tc>
          <w:tcPr>
            <w:tcW w:w="1680" w:type="dxa"/>
            <w:vAlign w:val="bottom"/>
            <w:tcBorders>
              <w:left w:val="single" w:sz="8" w:color="auto"/>
              <w:right w:val="single" w:sz="8" w:color="auto"/>
            </w:tcBorders>
          </w:tcPr>
          <w:p>
            <w:pPr>
              <w:spacing w:after="0"/>
              <w:rPr>
                <w:sz w:val="23"/>
                <w:szCs w:val="23"/>
                <w:color w:val="auto"/>
              </w:rPr>
            </w:pPr>
          </w:p>
        </w:tc>
        <w:tc>
          <w:tcPr>
            <w:tcW w:w="2280" w:type="dxa"/>
            <w:vAlign w:val="bottom"/>
            <w:tcBorders>
              <w:right w:val="single" w:sz="8" w:color="auto"/>
            </w:tcBorders>
          </w:tcPr>
          <w:p>
            <w:pPr>
              <w:spacing w:after="0" w:line="270" w:lineRule="exact"/>
              <w:rPr>
                <w:sz w:val="20"/>
                <w:szCs w:val="20"/>
                <w:color w:val="auto"/>
              </w:rPr>
            </w:pPr>
            <w:r>
              <w:rPr>
                <w:rFonts w:ascii="Times New Roman" w:cs="Times New Roman" w:eastAsia="Times New Roman" w:hAnsi="Times New Roman"/>
                <w:sz w:val="26"/>
                <w:szCs w:val="26"/>
                <w:color w:val="auto"/>
              </w:rPr>
              <w:t>Скорректированная</w:t>
            </w:r>
          </w:p>
        </w:tc>
        <w:tc>
          <w:tcPr>
            <w:tcW w:w="1000" w:type="dxa"/>
            <w:vAlign w:val="bottom"/>
            <w:tcBorders>
              <w:right w:val="single" w:sz="8" w:color="auto"/>
            </w:tcBorders>
          </w:tcPr>
          <w:p>
            <w:pPr>
              <w:spacing w:after="0"/>
              <w:rPr>
                <w:sz w:val="23"/>
                <w:szCs w:val="23"/>
                <w:color w:val="auto"/>
              </w:rPr>
            </w:pPr>
          </w:p>
        </w:tc>
        <w:tc>
          <w:tcPr>
            <w:tcW w:w="1400" w:type="dxa"/>
            <w:vAlign w:val="bottom"/>
            <w:tcBorders>
              <w:right w:val="single" w:sz="8" w:color="auto"/>
            </w:tcBorders>
          </w:tcPr>
          <w:p>
            <w:pPr>
              <w:jc w:val="center"/>
              <w:spacing w:after="0" w:line="270" w:lineRule="exact"/>
              <w:rPr>
                <w:sz w:val="20"/>
                <w:szCs w:val="20"/>
                <w:color w:val="auto"/>
              </w:rPr>
            </w:pPr>
            <w:r>
              <w:rPr>
                <w:rFonts w:ascii="Times New Roman" w:cs="Times New Roman" w:eastAsia="Times New Roman" w:hAnsi="Times New Roman"/>
                <w:sz w:val="26"/>
                <w:szCs w:val="26"/>
                <w:color w:val="auto"/>
                <w:w w:val="97"/>
              </w:rPr>
              <w:t>339248</w:t>
            </w:r>
          </w:p>
        </w:tc>
        <w:tc>
          <w:tcPr>
            <w:tcW w:w="1640" w:type="dxa"/>
            <w:vAlign w:val="bottom"/>
            <w:tcBorders>
              <w:right w:val="single" w:sz="8" w:color="auto"/>
            </w:tcBorders>
          </w:tcPr>
          <w:p>
            <w:pPr>
              <w:jc w:val="center"/>
              <w:spacing w:after="0" w:line="270" w:lineRule="exact"/>
              <w:rPr>
                <w:sz w:val="20"/>
                <w:szCs w:val="20"/>
                <w:color w:val="auto"/>
              </w:rPr>
            </w:pPr>
            <w:r>
              <w:rPr>
                <w:rFonts w:ascii="Times New Roman" w:cs="Times New Roman" w:eastAsia="Times New Roman" w:hAnsi="Times New Roman"/>
                <w:sz w:val="26"/>
                <w:szCs w:val="26"/>
                <w:color w:val="auto"/>
                <w:w w:val="94"/>
              </w:rPr>
              <w:t>457132</w:t>
            </w:r>
          </w:p>
        </w:tc>
        <w:tc>
          <w:tcPr>
            <w:tcW w:w="1540" w:type="dxa"/>
            <w:vAlign w:val="bottom"/>
            <w:tcBorders>
              <w:right w:val="single" w:sz="8" w:color="auto"/>
            </w:tcBorders>
          </w:tcPr>
          <w:p>
            <w:pPr>
              <w:jc w:val="center"/>
              <w:spacing w:after="0" w:line="270" w:lineRule="exact"/>
              <w:rPr>
                <w:sz w:val="20"/>
                <w:szCs w:val="20"/>
                <w:color w:val="auto"/>
              </w:rPr>
            </w:pPr>
            <w:r>
              <w:rPr>
                <w:rFonts w:ascii="Times New Roman" w:cs="Times New Roman" w:eastAsia="Times New Roman" w:hAnsi="Times New Roman"/>
                <w:sz w:val="26"/>
                <w:szCs w:val="26"/>
                <w:color w:val="auto"/>
                <w:w w:val="94"/>
              </w:rPr>
              <w:t>191295</w:t>
            </w:r>
          </w:p>
        </w:tc>
        <w:tc>
          <w:tcPr>
            <w:tcW w:w="0" w:type="dxa"/>
            <w:vAlign w:val="bottom"/>
          </w:tcPr>
          <w:p>
            <w:pPr>
              <w:spacing w:after="0"/>
              <w:rPr>
                <w:sz w:val="1"/>
                <w:szCs w:val="1"/>
                <w:color w:val="auto"/>
              </w:rPr>
            </w:pPr>
          </w:p>
        </w:tc>
      </w:tr>
      <w:tr>
        <w:trPr>
          <w:trHeight w:val="319"/>
        </w:trPr>
        <w:tc>
          <w:tcPr>
            <w:tcW w:w="1680" w:type="dxa"/>
            <w:vAlign w:val="bottom"/>
            <w:tcBorders>
              <w:left w:val="single" w:sz="8" w:color="auto"/>
              <w:bottom w:val="single" w:sz="8" w:color="auto"/>
              <w:right w:val="single" w:sz="8" w:color="auto"/>
            </w:tcBorders>
          </w:tcPr>
          <w:p>
            <w:pPr>
              <w:spacing w:after="0"/>
              <w:rPr>
                <w:sz w:val="24"/>
                <w:szCs w:val="24"/>
                <w:color w:val="auto"/>
              </w:rPr>
            </w:pPr>
          </w:p>
        </w:tc>
        <w:tc>
          <w:tcPr>
            <w:tcW w:w="2280" w:type="dxa"/>
            <w:vAlign w:val="bottom"/>
            <w:tcBorders>
              <w:bottom w:val="single" w:sz="8" w:color="auto"/>
              <w:right w:val="single" w:sz="8" w:color="auto"/>
            </w:tcBorders>
          </w:tcPr>
          <w:p>
            <w:pPr>
              <w:spacing w:after="0"/>
              <w:rPr>
                <w:sz w:val="20"/>
                <w:szCs w:val="20"/>
                <w:color w:val="auto"/>
              </w:rPr>
            </w:pPr>
            <w:r>
              <w:rPr>
                <w:rFonts w:ascii="Times New Roman" w:cs="Times New Roman" w:eastAsia="Times New Roman" w:hAnsi="Times New Roman"/>
                <w:sz w:val="26"/>
                <w:szCs w:val="26"/>
                <w:color w:val="auto"/>
              </w:rPr>
              <w:t>цена</w:t>
            </w:r>
          </w:p>
        </w:tc>
        <w:tc>
          <w:tcPr>
            <w:tcW w:w="1000" w:type="dxa"/>
            <w:vAlign w:val="bottom"/>
            <w:tcBorders>
              <w:bottom w:val="single" w:sz="8" w:color="auto"/>
              <w:right w:val="single" w:sz="8" w:color="auto"/>
            </w:tcBorders>
          </w:tcPr>
          <w:p>
            <w:pPr>
              <w:spacing w:after="0"/>
              <w:rPr>
                <w:sz w:val="24"/>
                <w:szCs w:val="24"/>
                <w:color w:val="auto"/>
              </w:rPr>
            </w:pPr>
          </w:p>
        </w:tc>
        <w:tc>
          <w:tcPr>
            <w:tcW w:w="1400" w:type="dxa"/>
            <w:vAlign w:val="bottom"/>
            <w:tcBorders>
              <w:bottom w:val="single" w:sz="8" w:color="auto"/>
              <w:right w:val="single" w:sz="8" w:color="auto"/>
            </w:tcBorders>
          </w:tcPr>
          <w:p>
            <w:pPr>
              <w:spacing w:after="0"/>
              <w:rPr>
                <w:sz w:val="24"/>
                <w:szCs w:val="24"/>
                <w:color w:val="auto"/>
              </w:rPr>
            </w:pPr>
          </w:p>
        </w:tc>
        <w:tc>
          <w:tcPr>
            <w:tcW w:w="1640" w:type="dxa"/>
            <w:vAlign w:val="bottom"/>
            <w:tcBorders>
              <w:bottom w:val="single" w:sz="8" w:color="auto"/>
              <w:right w:val="single" w:sz="8" w:color="auto"/>
            </w:tcBorders>
          </w:tcPr>
          <w:p>
            <w:pPr>
              <w:spacing w:after="0"/>
              <w:rPr>
                <w:sz w:val="24"/>
                <w:szCs w:val="24"/>
                <w:color w:val="auto"/>
              </w:rPr>
            </w:pPr>
          </w:p>
        </w:tc>
        <w:tc>
          <w:tcPr>
            <w:tcW w:w="154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69"/>
        </w:trPr>
        <w:tc>
          <w:tcPr>
            <w:tcW w:w="1680" w:type="dxa"/>
            <w:vAlign w:val="bottom"/>
            <w:tcBorders>
              <w:left w:val="single" w:sz="8" w:color="auto"/>
              <w:right w:val="single" w:sz="8" w:color="auto"/>
            </w:tcBorders>
          </w:tcPr>
          <w:p>
            <w:pPr>
              <w:ind w:left="40"/>
              <w:spacing w:after="0" w:line="270" w:lineRule="exact"/>
              <w:rPr>
                <w:sz w:val="20"/>
                <w:szCs w:val="20"/>
                <w:color w:val="auto"/>
              </w:rPr>
            </w:pPr>
            <w:r>
              <w:rPr>
                <w:rFonts w:ascii="Times New Roman" w:cs="Times New Roman" w:eastAsia="Times New Roman" w:hAnsi="Times New Roman"/>
                <w:sz w:val="26"/>
                <w:szCs w:val="26"/>
                <w:color w:val="auto"/>
              </w:rPr>
              <w:t>3 - корректи-</w:t>
            </w:r>
          </w:p>
        </w:tc>
        <w:tc>
          <w:tcPr>
            <w:tcW w:w="2280" w:type="dxa"/>
            <w:vAlign w:val="bottom"/>
            <w:tcBorders>
              <w:right w:val="single" w:sz="8" w:color="auto"/>
            </w:tcBorders>
          </w:tcPr>
          <w:p>
            <w:pPr>
              <w:spacing w:after="0" w:line="270" w:lineRule="exact"/>
              <w:rPr>
                <w:sz w:val="20"/>
                <w:szCs w:val="20"/>
                <w:color w:val="auto"/>
              </w:rPr>
            </w:pPr>
            <w:r>
              <w:rPr>
                <w:rFonts w:ascii="Times New Roman" w:cs="Times New Roman" w:eastAsia="Times New Roman" w:hAnsi="Times New Roman"/>
                <w:sz w:val="26"/>
                <w:szCs w:val="26"/>
                <w:color w:val="auto"/>
              </w:rPr>
              <w:t>Максимальная цена</w:t>
            </w:r>
          </w:p>
        </w:tc>
        <w:tc>
          <w:tcPr>
            <w:tcW w:w="1000" w:type="dxa"/>
            <w:vAlign w:val="bottom"/>
            <w:tcBorders>
              <w:right w:val="single" w:sz="8" w:color="auto"/>
            </w:tcBorders>
          </w:tcPr>
          <w:p>
            <w:pPr>
              <w:jc w:val="center"/>
              <w:spacing w:after="0" w:line="270" w:lineRule="exact"/>
              <w:rPr>
                <w:sz w:val="20"/>
                <w:szCs w:val="20"/>
                <w:color w:val="auto"/>
              </w:rPr>
            </w:pPr>
            <w:r>
              <w:rPr>
                <w:rFonts w:ascii="Times New Roman" w:cs="Times New Roman" w:eastAsia="Times New Roman" w:hAnsi="Times New Roman"/>
                <w:sz w:val="26"/>
                <w:szCs w:val="26"/>
                <w:color w:val="auto"/>
                <w:w w:val="97"/>
              </w:rPr>
              <w:t>800</w:t>
            </w:r>
          </w:p>
        </w:tc>
        <w:tc>
          <w:tcPr>
            <w:tcW w:w="1400" w:type="dxa"/>
            <w:vAlign w:val="bottom"/>
            <w:tcBorders>
              <w:right w:val="single" w:sz="8" w:color="auto"/>
            </w:tcBorders>
          </w:tcPr>
          <w:p>
            <w:pPr>
              <w:jc w:val="center"/>
              <w:spacing w:after="0" w:line="270" w:lineRule="exact"/>
              <w:rPr>
                <w:sz w:val="20"/>
                <w:szCs w:val="20"/>
                <w:color w:val="auto"/>
              </w:rPr>
            </w:pPr>
            <w:r>
              <w:rPr>
                <w:rFonts w:ascii="Times New Roman" w:cs="Times New Roman" w:eastAsia="Times New Roman" w:hAnsi="Times New Roman"/>
                <w:sz w:val="26"/>
                <w:szCs w:val="26"/>
                <w:color w:val="auto"/>
                <w:w w:val="96"/>
              </w:rPr>
              <w:t>1100</w:t>
            </w:r>
          </w:p>
        </w:tc>
        <w:tc>
          <w:tcPr>
            <w:tcW w:w="1640" w:type="dxa"/>
            <w:vAlign w:val="bottom"/>
            <w:tcBorders>
              <w:right w:val="single" w:sz="8" w:color="auto"/>
            </w:tcBorders>
          </w:tcPr>
          <w:p>
            <w:pPr>
              <w:jc w:val="center"/>
              <w:spacing w:after="0" w:line="270" w:lineRule="exact"/>
              <w:rPr>
                <w:sz w:val="20"/>
                <w:szCs w:val="20"/>
                <w:color w:val="auto"/>
              </w:rPr>
            </w:pPr>
            <w:r>
              <w:rPr>
                <w:rFonts w:ascii="Times New Roman" w:cs="Times New Roman" w:eastAsia="Times New Roman" w:hAnsi="Times New Roman"/>
                <w:sz w:val="26"/>
                <w:szCs w:val="26"/>
                <w:color w:val="auto"/>
                <w:w w:val="96"/>
              </w:rPr>
              <w:t>1100</w:t>
            </w:r>
          </w:p>
        </w:tc>
        <w:tc>
          <w:tcPr>
            <w:tcW w:w="1540" w:type="dxa"/>
            <w:vAlign w:val="bottom"/>
            <w:tcBorders>
              <w:right w:val="single" w:sz="8" w:color="auto"/>
            </w:tcBorders>
          </w:tcPr>
          <w:p>
            <w:pPr>
              <w:jc w:val="center"/>
              <w:spacing w:after="0" w:line="270" w:lineRule="exact"/>
              <w:rPr>
                <w:sz w:val="20"/>
                <w:szCs w:val="20"/>
                <w:color w:val="auto"/>
              </w:rPr>
            </w:pPr>
            <w:r>
              <w:rPr>
                <w:rFonts w:ascii="Times New Roman" w:cs="Times New Roman" w:eastAsia="Times New Roman" w:hAnsi="Times New Roman"/>
                <w:sz w:val="26"/>
                <w:szCs w:val="26"/>
                <w:color w:val="auto"/>
                <w:w w:val="96"/>
              </w:rPr>
              <w:t>1100</w:t>
            </w:r>
          </w:p>
        </w:tc>
        <w:tc>
          <w:tcPr>
            <w:tcW w:w="0" w:type="dxa"/>
            <w:vAlign w:val="bottom"/>
          </w:tcPr>
          <w:p>
            <w:pPr>
              <w:spacing w:after="0"/>
              <w:rPr>
                <w:sz w:val="1"/>
                <w:szCs w:val="1"/>
                <w:color w:val="auto"/>
              </w:rPr>
            </w:pPr>
          </w:p>
        </w:tc>
      </w:tr>
      <w:tr>
        <w:trPr>
          <w:trHeight w:val="299"/>
        </w:trPr>
        <w:tc>
          <w:tcPr>
            <w:tcW w:w="1680" w:type="dxa"/>
            <w:vAlign w:val="bottom"/>
            <w:tcBorders>
              <w:left w:val="single" w:sz="8" w:color="auto"/>
              <w:right w:val="single" w:sz="8" w:color="auto"/>
            </w:tcBorders>
          </w:tcPr>
          <w:p>
            <w:pPr>
              <w:ind w:left="40"/>
              <w:spacing w:after="0"/>
              <w:rPr>
                <w:sz w:val="20"/>
                <w:szCs w:val="20"/>
                <w:color w:val="auto"/>
              </w:rPr>
            </w:pPr>
            <w:r>
              <w:rPr>
                <w:rFonts w:ascii="Times New Roman" w:cs="Times New Roman" w:eastAsia="Times New Roman" w:hAnsi="Times New Roman"/>
                <w:sz w:val="26"/>
                <w:szCs w:val="26"/>
                <w:color w:val="auto"/>
              </w:rPr>
              <w:t>ровка по</w:t>
            </w:r>
          </w:p>
        </w:tc>
        <w:tc>
          <w:tcPr>
            <w:tcW w:w="2280" w:type="dxa"/>
            <w:vAlign w:val="bottom"/>
            <w:tcBorders>
              <w:right w:val="single" w:sz="8" w:color="auto"/>
            </w:tcBorders>
          </w:tcPr>
          <w:p>
            <w:pPr>
              <w:spacing w:after="0"/>
              <w:rPr>
                <w:sz w:val="20"/>
                <w:szCs w:val="20"/>
                <w:color w:val="auto"/>
              </w:rPr>
            </w:pPr>
            <w:r>
              <w:rPr>
                <w:rFonts w:ascii="Times New Roman" w:cs="Times New Roman" w:eastAsia="Times New Roman" w:hAnsi="Times New Roman"/>
                <w:sz w:val="26"/>
                <w:szCs w:val="26"/>
                <w:color w:val="auto"/>
              </w:rPr>
              <w:t>заготовки, мм.</w:t>
            </w:r>
          </w:p>
        </w:tc>
        <w:tc>
          <w:tcPr>
            <w:tcW w:w="1000" w:type="dxa"/>
            <w:vAlign w:val="bottom"/>
            <w:tcBorders>
              <w:right w:val="single" w:sz="8" w:color="auto"/>
            </w:tcBorders>
          </w:tcPr>
          <w:p>
            <w:pPr>
              <w:spacing w:after="0"/>
              <w:rPr>
                <w:sz w:val="24"/>
                <w:szCs w:val="24"/>
                <w:color w:val="auto"/>
              </w:rPr>
            </w:pPr>
          </w:p>
        </w:tc>
        <w:tc>
          <w:tcPr>
            <w:tcW w:w="1400" w:type="dxa"/>
            <w:vAlign w:val="bottom"/>
            <w:tcBorders>
              <w:right w:val="single" w:sz="8" w:color="auto"/>
            </w:tcBorders>
          </w:tcPr>
          <w:p>
            <w:pPr>
              <w:spacing w:after="0"/>
              <w:rPr>
                <w:sz w:val="24"/>
                <w:szCs w:val="24"/>
                <w:color w:val="auto"/>
              </w:rPr>
            </w:pPr>
          </w:p>
        </w:tc>
        <w:tc>
          <w:tcPr>
            <w:tcW w:w="1640" w:type="dxa"/>
            <w:vAlign w:val="bottom"/>
            <w:tcBorders>
              <w:right w:val="single" w:sz="8" w:color="auto"/>
            </w:tcBorders>
          </w:tcPr>
          <w:p>
            <w:pPr>
              <w:spacing w:after="0"/>
              <w:rPr>
                <w:sz w:val="24"/>
                <w:szCs w:val="24"/>
                <w:color w:val="auto"/>
              </w:rPr>
            </w:pPr>
          </w:p>
        </w:tc>
        <w:tc>
          <w:tcPr>
            <w:tcW w:w="154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0"/>
        </w:trPr>
        <w:tc>
          <w:tcPr>
            <w:tcW w:w="1680" w:type="dxa"/>
            <w:vAlign w:val="bottom"/>
            <w:tcBorders>
              <w:left w:val="single" w:sz="8" w:color="auto"/>
              <w:right w:val="single" w:sz="8" w:color="auto"/>
            </w:tcBorders>
            <w:vMerge w:val="restart"/>
          </w:tcPr>
          <w:p>
            <w:pPr>
              <w:ind w:left="40"/>
              <w:spacing w:after="0"/>
              <w:rPr>
                <w:sz w:val="20"/>
                <w:szCs w:val="20"/>
                <w:color w:val="auto"/>
              </w:rPr>
            </w:pPr>
            <w:r>
              <w:rPr>
                <w:rFonts w:ascii="Times New Roman" w:cs="Times New Roman" w:eastAsia="Times New Roman" w:hAnsi="Times New Roman"/>
                <w:sz w:val="26"/>
                <w:szCs w:val="26"/>
                <w:color w:val="auto"/>
              </w:rPr>
              <w:t>параметрам</w:t>
            </w:r>
          </w:p>
        </w:tc>
        <w:tc>
          <w:tcPr>
            <w:tcW w:w="2280" w:type="dxa"/>
            <w:vAlign w:val="bottom"/>
            <w:tcBorders>
              <w:bottom w:val="single" w:sz="8" w:color="auto"/>
              <w:right w:val="single" w:sz="8" w:color="auto"/>
            </w:tcBorders>
          </w:tcPr>
          <w:p>
            <w:pPr>
              <w:spacing w:after="0" w:line="20" w:lineRule="exact"/>
              <w:rPr>
                <w:sz w:val="1"/>
                <w:szCs w:val="1"/>
                <w:color w:val="auto"/>
              </w:rPr>
            </w:pPr>
          </w:p>
        </w:tc>
        <w:tc>
          <w:tcPr>
            <w:tcW w:w="1000" w:type="dxa"/>
            <w:vAlign w:val="bottom"/>
            <w:tcBorders>
              <w:bottom w:val="single" w:sz="8" w:color="auto"/>
              <w:right w:val="single" w:sz="8" w:color="auto"/>
            </w:tcBorders>
          </w:tcPr>
          <w:p>
            <w:pPr>
              <w:spacing w:after="0" w:line="20" w:lineRule="exact"/>
              <w:rPr>
                <w:sz w:val="1"/>
                <w:szCs w:val="1"/>
                <w:color w:val="auto"/>
              </w:rPr>
            </w:pPr>
          </w:p>
        </w:tc>
        <w:tc>
          <w:tcPr>
            <w:tcW w:w="1400" w:type="dxa"/>
            <w:vAlign w:val="bottom"/>
            <w:tcBorders>
              <w:bottom w:val="single" w:sz="8" w:color="auto"/>
              <w:right w:val="single" w:sz="8" w:color="auto"/>
            </w:tcBorders>
          </w:tcPr>
          <w:p>
            <w:pPr>
              <w:spacing w:after="0" w:line="20" w:lineRule="exact"/>
              <w:rPr>
                <w:sz w:val="1"/>
                <w:szCs w:val="1"/>
                <w:color w:val="auto"/>
              </w:rPr>
            </w:pPr>
          </w:p>
        </w:tc>
        <w:tc>
          <w:tcPr>
            <w:tcW w:w="1640" w:type="dxa"/>
            <w:vAlign w:val="bottom"/>
            <w:tcBorders>
              <w:bottom w:val="single" w:sz="8" w:color="auto"/>
              <w:right w:val="single" w:sz="8" w:color="auto"/>
            </w:tcBorders>
          </w:tcPr>
          <w:p>
            <w:pPr>
              <w:spacing w:after="0" w:line="20" w:lineRule="exact"/>
              <w:rPr>
                <w:sz w:val="1"/>
                <w:szCs w:val="1"/>
                <w:color w:val="auto"/>
              </w:rPr>
            </w:pPr>
          </w:p>
        </w:tc>
        <w:tc>
          <w:tcPr>
            <w:tcW w:w="1540" w:type="dxa"/>
            <w:vAlign w:val="bottom"/>
            <w:tcBorders>
              <w:bottom w:val="single" w:sz="8" w:color="auto"/>
              <w:right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258"/>
        </w:trPr>
        <w:tc>
          <w:tcPr>
            <w:tcW w:w="1680" w:type="dxa"/>
            <w:vAlign w:val="bottom"/>
            <w:tcBorders>
              <w:left w:val="single" w:sz="8" w:color="auto"/>
              <w:right w:val="single" w:sz="8" w:color="auto"/>
            </w:tcBorders>
            <w:vMerge w:val="continue"/>
          </w:tcPr>
          <w:p>
            <w:pPr>
              <w:spacing w:after="0"/>
              <w:rPr>
                <w:sz w:val="22"/>
                <w:szCs w:val="22"/>
                <w:color w:val="auto"/>
              </w:rPr>
            </w:pPr>
          </w:p>
        </w:tc>
        <w:tc>
          <w:tcPr>
            <w:tcW w:w="2280" w:type="dxa"/>
            <w:vAlign w:val="bottom"/>
            <w:tcBorders>
              <w:right w:val="single" w:sz="8" w:color="auto"/>
            </w:tcBorders>
          </w:tcPr>
          <w:p>
            <w:pPr>
              <w:spacing w:after="0" w:line="258" w:lineRule="exact"/>
              <w:rPr>
                <w:sz w:val="20"/>
                <w:szCs w:val="20"/>
                <w:color w:val="auto"/>
              </w:rPr>
            </w:pPr>
            <w:r>
              <w:rPr>
                <w:rFonts w:ascii="Times New Roman" w:cs="Times New Roman" w:eastAsia="Times New Roman" w:hAnsi="Times New Roman"/>
                <w:sz w:val="26"/>
                <w:szCs w:val="26"/>
                <w:color w:val="auto"/>
              </w:rPr>
              <w:t>Параметрический</w:t>
            </w:r>
          </w:p>
        </w:tc>
        <w:tc>
          <w:tcPr>
            <w:tcW w:w="1000" w:type="dxa"/>
            <w:vAlign w:val="bottom"/>
            <w:tcBorders>
              <w:right w:val="single" w:sz="8" w:color="auto"/>
            </w:tcBorders>
          </w:tcPr>
          <w:p>
            <w:pPr>
              <w:spacing w:after="0"/>
              <w:rPr>
                <w:sz w:val="22"/>
                <w:szCs w:val="22"/>
                <w:color w:val="auto"/>
              </w:rPr>
            </w:pPr>
          </w:p>
        </w:tc>
        <w:tc>
          <w:tcPr>
            <w:tcW w:w="1400" w:type="dxa"/>
            <w:vAlign w:val="bottom"/>
            <w:tcBorders>
              <w:right w:val="single" w:sz="8" w:color="auto"/>
            </w:tcBorders>
          </w:tcPr>
          <w:p>
            <w:pPr>
              <w:jc w:val="center"/>
              <w:spacing w:after="0" w:line="258" w:lineRule="exact"/>
              <w:rPr>
                <w:sz w:val="20"/>
                <w:szCs w:val="20"/>
                <w:color w:val="auto"/>
              </w:rPr>
            </w:pPr>
            <w:r>
              <w:rPr>
                <w:rFonts w:ascii="Times New Roman" w:cs="Times New Roman" w:eastAsia="Times New Roman" w:hAnsi="Times New Roman"/>
                <w:sz w:val="26"/>
                <w:szCs w:val="26"/>
                <w:color w:val="auto"/>
                <w:w w:val="95"/>
              </w:rPr>
              <w:t>(800/1100)</w:t>
            </w:r>
            <w:r>
              <w:rPr>
                <w:rFonts w:ascii="Times New Roman" w:cs="Times New Roman" w:eastAsia="Times New Roman" w:hAnsi="Times New Roman"/>
                <w:sz w:val="17"/>
                <w:szCs w:val="17"/>
                <w:color w:val="auto"/>
                <w:w w:val="95"/>
              </w:rPr>
              <w:t>n</w:t>
            </w:r>
            <w:r>
              <w:rPr>
                <w:rFonts w:ascii="Times New Roman" w:cs="Times New Roman" w:eastAsia="Times New Roman" w:hAnsi="Times New Roman"/>
                <w:sz w:val="26"/>
                <w:szCs w:val="26"/>
                <w:color w:val="auto"/>
                <w:w w:val="95"/>
              </w:rPr>
              <w:t>=</w:t>
            </w:r>
          </w:p>
        </w:tc>
        <w:tc>
          <w:tcPr>
            <w:tcW w:w="1640" w:type="dxa"/>
            <w:vAlign w:val="bottom"/>
            <w:tcBorders>
              <w:right w:val="single" w:sz="8" w:color="auto"/>
            </w:tcBorders>
          </w:tcPr>
          <w:p>
            <w:pPr>
              <w:jc w:val="center"/>
              <w:spacing w:after="0" w:line="258" w:lineRule="exact"/>
              <w:rPr>
                <w:sz w:val="20"/>
                <w:szCs w:val="20"/>
                <w:color w:val="auto"/>
              </w:rPr>
            </w:pPr>
            <w:r>
              <w:rPr>
                <w:rFonts w:ascii="Times New Roman" w:cs="Times New Roman" w:eastAsia="Times New Roman" w:hAnsi="Times New Roman"/>
                <w:sz w:val="22"/>
                <w:szCs w:val="22"/>
                <w:color w:val="auto"/>
              </w:rPr>
              <w:t>(800/1100)</w:t>
            </w:r>
            <w:r>
              <w:rPr>
                <w:rFonts w:ascii="Times New Roman" w:cs="Times New Roman" w:eastAsia="Times New Roman" w:hAnsi="Times New Roman"/>
                <w:sz w:val="29"/>
                <w:szCs w:val="29"/>
                <w:color w:val="auto"/>
                <w:vertAlign w:val="superscript"/>
              </w:rPr>
              <w:t>0,3</w:t>
            </w:r>
          </w:p>
        </w:tc>
        <w:tc>
          <w:tcPr>
            <w:tcW w:w="1540" w:type="dxa"/>
            <w:vAlign w:val="bottom"/>
            <w:tcBorders>
              <w:right w:val="single" w:sz="8" w:color="auto"/>
            </w:tcBorders>
          </w:tcPr>
          <w:p>
            <w:pPr>
              <w:jc w:val="center"/>
              <w:spacing w:after="0" w:line="258" w:lineRule="exact"/>
              <w:rPr>
                <w:sz w:val="20"/>
                <w:szCs w:val="20"/>
                <w:color w:val="auto"/>
              </w:rPr>
            </w:pPr>
            <w:r>
              <w:rPr>
                <w:rFonts w:ascii="Times New Roman" w:cs="Times New Roman" w:eastAsia="Times New Roman" w:hAnsi="Times New Roman"/>
                <w:sz w:val="22"/>
                <w:szCs w:val="22"/>
                <w:color w:val="auto"/>
              </w:rPr>
              <w:t>(800/1100)</w:t>
            </w:r>
            <w:r>
              <w:rPr>
                <w:rFonts w:ascii="Times New Roman" w:cs="Times New Roman" w:eastAsia="Times New Roman" w:hAnsi="Times New Roman"/>
                <w:sz w:val="29"/>
                <w:szCs w:val="29"/>
                <w:color w:val="auto"/>
                <w:vertAlign w:val="superscript"/>
              </w:rPr>
              <w:t>0,3</w:t>
            </w:r>
            <w:r>
              <w:rPr>
                <w:rFonts w:ascii="Times New Roman" w:cs="Times New Roman" w:eastAsia="Times New Roman" w:hAnsi="Times New Roman"/>
                <w:sz w:val="22"/>
                <w:szCs w:val="22"/>
                <w:color w:val="auto"/>
              </w:rPr>
              <w:t>=</w:t>
            </w:r>
          </w:p>
        </w:tc>
        <w:tc>
          <w:tcPr>
            <w:tcW w:w="0" w:type="dxa"/>
            <w:vAlign w:val="bottom"/>
          </w:tcPr>
          <w:p>
            <w:pPr>
              <w:spacing w:after="0"/>
              <w:rPr>
                <w:sz w:val="1"/>
                <w:szCs w:val="1"/>
                <w:color w:val="auto"/>
              </w:rPr>
            </w:pPr>
          </w:p>
        </w:tc>
      </w:tr>
      <w:tr>
        <w:trPr>
          <w:trHeight w:val="329"/>
        </w:trPr>
        <w:tc>
          <w:tcPr>
            <w:tcW w:w="1680" w:type="dxa"/>
            <w:vAlign w:val="bottom"/>
            <w:tcBorders>
              <w:left w:val="single" w:sz="8" w:color="auto"/>
              <w:right w:val="single" w:sz="8" w:color="auto"/>
            </w:tcBorders>
          </w:tcPr>
          <w:p>
            <w:pPr>
              <w:ind w:left="40"/>
              <w:spacing w:after="0"/>
              <w:rPr>
                <w:sz w:val="20"/>
                <w:szCs w:val="20"/>
                <w:color w:val="auto"/>
              </w:rPr>
            </w:pPr>
            <w:r>
              <w:rPr>
                <w:rFonts w:ascii="Times New Roman" w:cs="Times New Roman" w:eastAsia="Times New Roman" w:hAnsi="Times New Roman"/>
                <w:sz w:val="26"/>
                <w:szCs w:val="26"/>
                <w:color w:val="auto"/>
              </w:rPr>
              <w:t>при n=0,3</w:t>
            </w:r>
          </w:p>
        </w:tc>
        <w:tc>
          <w:tcPr>
            <w:tcW w:w="2280" w:type="dxa"/>
            <w:vAlign w:val="bottom"/>
            <w:tcBorders>
              <w:bottom w:val="single" w:sz="8" w:color="auto"/>
              <w:right w:val="single" w:sz="8" w:color="auto"/>
            </w:tcBorders>
          </w:tcPr>
          <w:p>
            <w:pPr>
              <w:spacing w:after="0"/>
              <w:rPr>
                <w:sz w:val="20"/>
                <w:szCs w:val="20"/>
                <w:color w:val="auto"/>
              </w:rPr>
            </w:pPr>
            <w:r>
              <w:rPr>
                <w:rFonts w:ascii="Times New Roman" w:cs="Times New Roman" w:eastAsia="Times New Roman" w:hAnsi="Times New Roman"/>
                <w:sz w:val="26"/>
                <w:szCs w:val="26"/>
                <w:color w:val="auto"/>
              </w:rPr>
              <w:t>коэффициент</w:t>
            </w:r>
          </w:p>
        </w:tc>
        <w:tc>
          <w:tcPr>
            <w:tcW w:w="1000" w:type="dxa"/>
            <w:vAlign w:val="bottom"/>
            <w:tcBorders>
              <w:bottom w:val="single" w:sz="8" w:color="auto"/>
              <w:right w:val="single" w:sz="8" w:color="auto"/>
            </w:tcBorders>
          </w:tcPr>
          <w:p>
            <w:pPr>
              <w:spacing w:after="0"/>
              <w:rPr>
                <w:sz w:val="24"/>
                <w:szCs w:val="24"/>
                <w:color w:val="auto"/>
              </w:rPr>
            </w:pPr>
          </w:p>
        </w:tc>
        <w:tc>
          <w:tcPr>
            <w:tcW w:w="140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6"/>
                <w:szCs w:val="26"/>
                <w:color w:val="auto"/>
                <w:w w:val="96"/>
              </w:rPr>
              <w:t>0,91</w:t>
            </w:r>
          </w:p>
        </w:tc>
        <w:tc>
          <w:tcPr>
            <w:tcW w:w="164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6"/>
                <w:szCs w:val="26"/>
                <w:color w:val="auto"/>
                <w:w w:val="96"/>
              </w:rPr>
              <w:t>=0,91</w:t>
            </w:r>
          </w:p>
        </w:tc>
        <w:tc>
          <w:tcPr>
            <w:tcW w:w="154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6"/>
                <w:szCs w:val="26"/>
                <w:color w:val="auto"/>
                <w:w w:val="96"/>
              </w:rPr>
              <w:t>0,91</w:t>
            </w:r>
          </w:p>
        </w:tc>
        <w:tc>
          <w:tcPr>
            <w:tcW w:w="0" w:type="dxa"/>
            <w:vAlign w:val="bottom"/>
          </w:tcPr>
          <w:p>
            <w:pPr>
              <w:spacing w:after="0"/>
              <w:rPr>
                <w:sz w:val="1"/>
                <w:szCs w:val="1"/>
                <w:color w:val="auto"/>
              </w:rPr>
            </w:pPr>
          </w:p>
        </w:tc>
      </w:tr>
      <w:tr>
        <w:trPr>
          <w:trHeight w:val="269"/>
        </w:trPr>
        <w:tc>
          <w:tcPr>
            <w:tcW w:w="1680" w:type="dxa"/>
            <w:vAlign w:val="bottom"/>
            <w:tcBorders>
              <w:left w:val="single" w:sz="8" w:color="auto"/>
              <w:right w:val="single" w:sz="8" w:color="auto"/>
            </w:tcBorders>
          </w:tcPr>
          <w:p>
            <w:pPr>
              <w:spacing w:after="0"/>
              <w:rPr>
                <w:sz w:val="23"/>
                <w:szCs w:val="23"/>
                <w:color w:val="auto"/>
              </w:rPr>
            </w:pPr>
          </w:p>
        </w:tc>
        <w:tc>
          <w:tcPr>
            <w:tcW w:w="2280" w:type="dxa"/>
            <w:vAlign w:val="bottom"/>
            <w:tcBorders>
              <w:right w:val="single" w:sz="8" w:color="auto"/>
            </w:tcBorders>
          </w:tcPr>
          <w:p>
            <w:pPr>
              <w:spacing w:after="0" w:line="270" w:lineRule="exact"/>
              <w:rPr>
                <w:sz w:val="20"/>
                <w:szCs w:val="20"/>
                <w:color w:val="auto"/>
              </w:rPr>
            </w:pPr>
            <w:r>
              <w:rPr>
                <w:rFonts w:ascii="Times New Roman" w:cs="Times New Roman" w:eastAsia="Times New Roman" w:hAnsi="Times New Roman"/>
                <w:sz w:val="26"/>
                <w:szCs w:val="26"/>
                <w:color w:val="auto"/>
              </w:rPr>
              <w:t>Скорректированная</w:t>
            </w:r>
          </w:p>
        </w:tc>
        <w:tc>
          <w:tcPr>
            <w:tcW w:w="1000" w:type="dxa"/>
            <w:vAlign w:val="bottom"/>
            <w:tcBorders>
              <w:right w:val="single" w:sz="8" w:color="auto"/>
            </w:tcBorders>
          </w:tcPr>
          <w:p>
            <w:pPr>
              <w:spacing w:after="0"/>
              <w:rPr>
                <w:sz w:val="23"/>
                <w:szCs w:val="23"/>
                <w:color w:val="auto"/>
              </w:rPr>
            </w:pPr>
          </w:p>
        </w:tc>
        <w:tc>
          <w:tcPr>
            <w:tcW w:w="1400" w:type="dxa"/>
            <w:vAlign w:val="bottom"/>
            <w:tcBorders>
              <w:right w:val="single" w:sz="8" w:color="auto"/>
            </w:tcBorders>
          </w:tcPr>
          <w:p>
            <w:pPr>
              <w:jc w:val="center"/>
              <w:spacing w:after="0" w:line="270" w:lineRule="exact"/>
              <w:rPr>
                <w:sz w:val="20"/>
                <w:szCs w:val="20"/>
                <w:color w:val="auto"/>
              </w:rPr>
            </w:pPr>
            <w:r>
              <w:rPr>
                <w:rFonts w:ascii="Times New Roman" w:cs="Times New Roman" w:eastAsia="Times New Roman" w:hAnsi="Times New Roman"/>
                <w:sz w:val="26"/>
                <w:szCs w:val="26"/>
                <w:color w:val="auto"/>
                <w:w w:val="97"/>
              </w:rPr>
              <w:t>308716</w:t>
            </w:r>
          </w:p>
        </w:tc>
        <w:tc>
          <w:tcPr>
            <w:tcW w:w="1640" w:type="dxa"/>
            <w:vAlign w:val="bottom"/>
            <w:tcBorders>
              <w:right w:val="single" w:sz="8" w:color="auto"/>
            </w:tcBorders>
          </w:tcPr>
          <w:p>
            <w:pPr>
              <w:jc w:val="center"/>
              <w:spacing w:after="0" w:line="270" w:lineRule="exact"/>
              <w:rPr>
                <w:sz w:val="20"/>
                <w:szCs w:val="20"/>
                <w:color w:val="auto"/>
              </w:rPr>
            </w:pPr>
            <w:r>
              <w:rPr>
                <w:rFonts w:ascii="Times New Roman" w:cs="Times New Roman" w:eastAsia="Times New Roman" w:hAnsi="Times New Roman"/>
                <w:sz w:val="26"/>
                <w:szCs w:val="26"/>
                <w:color w:val="auto"/>
                <w:w w:val="94"/>
              </w:rPr>
              <w:t>415990</w:t>
            </w:r>
          </w:p>
        </w:tc>
        <w:tc>
          <w:tcPr>
            <w:tcW w:w="1540" w:type="dxa"/>
            <w:vAlign w:val="bottom"/>
            <w:tcBorders>
              <w:right w:val="single" w:sz="8" w:color="auto"/>
            </w:tcBorders>
          </w:tcPr>
          <w:p>
            <w:pPr>
              <w:jc w:val="center"/>
              <w:spacing w:after="0" w:line="270" w:lineRule="exact"/>
              <w:rPr>
                <w:sz w:val="20"/>
                <w:szCs w:val="20"/>
                <w:color w:val="auto"/>
              </w:rPr>
            </w:pPr>
            <w:r>
              <w:rPr>
                <w:rFonts w:ascii="Times New Roman" w:cs="Times New Roman" w:eastAsia="Times New Roman" w:hAnsi="Times New Roman"/>
                <w:sz w:val="26"/>
                <w:szCs w:val="26"/>
                <w:color w:val="auto"/>
                <w:w w:val="94"/>
              </w:rPr>
              <w:t>174078</w:t>
            </w:r>
          </w:p>
        </w:tc>
        <w:tc>
          <w:tcPr>
            <w:tcW w:w="0" w:type="dxa"/>
            <w:vAlign w:val="bottom"/>
          </w:tcPr>
          <w:p>
            <w:pPr>
              <w:spacing w:after="0"/>
              <w:rPr>
                <w:sz w:val="1"/>
                <w:szCs w:val="1"/>
                <w:color w:val="auto"/>
              </w:rPr>
            </w:pPr>
          </w:p>
        </w:tc>
      </w:tr>
      <w:tr>
        <w:trPr>
          <w:trHeight w:val="319"/>
        </w:trPr>
        <w:tc>
          <w:tcPr>
            <w:tcW w:w="1680" w:type="dxa"/>
            <w:vAlign w:val="bottom"/>
            <w:tcBorders>
              <w:left w:val="single" w:sz="8" w:color="auto"/>
              <w:bottom w:val="single" w:sz="8" w:color="auto"/>
              <w:right w:val="single" w:sz="8" w:color="auto"/>
            </w:tcBorders>
          </w:tcPr>
          <w:p>
            <w:pPr>
              <w:spacing w:after="0"/>
              <w:rPr>
                <w:sz w:val="24"/>
                <w:szCs w:val="24"/>
                <w:color w:val="auto"/>
              </w:rPr>
            </w:pPr>
          </w:p>
        </w:tc>
        <w:tc>
          <w:tcPr>
            <w:tcW w:w="2280" w:type="dxa"/>
            <w:vAlign w:val="bottom"/>
            <w:tcBorders>
              <w:bottom w:val="single" w:sz="8" w:color="auto"/>
              <w:right w:val="single" w:sz="8" w:color="auto"/>
            </w:tcBorders>
          </w:tcPr>
          <w:p>
            <w:pPr>
              <w:spacing w:after="0"/>
              <w:rPr>
                <w:sz w:val="20"/>
                <w:szCs w:val="20"/>
                <w:color w:val="auto"/>
              </w:rPr>
            </w:pPr>
            <w:r>
              <w:rPr>
                <w:rFonts w:ascii="Times New Roman" w:cs="Times New Roman" w:eastAsia="Times New Roman" w:hAnsi="Times New Roman"/>
                <w:sz w:val="26"/>
                <w:szCs w:val="26"/>
                <w:color w:val="auto"/>
              </w:rPr>
              <w:t>цена</w:t>
            </w:r>
          </w:p>
        </w:tc>
        <w:tc>
          <w:tcPr>
            <w:tcW w:w="1000" w:type="dxa"/>
            <w:vAlign w:val="bottom"/>
            <w:tcBorders>
              <w:bottom w:val="single" w:sz="8" w:color="auto"/>
              <w:right w:val="single" w:sz="8" w:color="auto"/>
            </w:tcBorders>
          </w:tcPr>
          <w:p>
            <w:pPr>
              <w:spacing w:after="0"/>
              <w:rPr>
                <w:sz w:val="24"/>
                <w:szCs w:val="24"/>
                <w:color w:val="auto"/>
              </w:rPr>
            </w:pPr>
          </w:p>
        </w:tc>
        <w:tc>
          <w:tcPr>
            <w:tcW w:w="1400" w:type="dxa"/>
            <w:vAlign w:val="bottom"/>
            <w:tcBorders>
              <w:bottom w:val="single" w:sz="8" w:color="auto"/>
              <w:right w:val="single" w:sz="8" w:color="auto"/>
            </w:tcBorders>
          </w:tcPr>
          <w:p>
            <w:pPr>
              <w:spacing w:after="0"/>
              <w:rPr>
                <w:sz w:val="24"/>
                <w:szCs w:val="24"/>
                <w:color w:val="auto"/>
              </w:rPr>
            </w:pPr>
          </w:p>
        </w:tc>
        <w:tc>
          <w:tcPr>
            <w:tcW w:w="1640" w:type="dxa"/>
            <w:vAlign w:val="bottom"/>
            <w:tcBorders>
              <w:bottom w:val="single" w:sz="8" w:color="auto"/>
              <w:right w:val="single" w:sz="8" w:color="auto"/>
            </w:tcBorders>
          </w:tcPr>
          <w:p>
            <w:pPr>
              <w:spacing w:after="0"/>
              <w:rPr>
                <w:sz w:val="24"/>
                <w:szCs w:val="24"/>
                <w:color w:val="auto"/>
              </w:rPr>
            </w:pPr>
          </w:p>
        </w:tc>
        <w:tc>
          <w:tcPr>
            <w:tcW w:w="154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68"/>
        </w:trPr>
        <w:tc>
          <w:tcPr>
            <w:tcW w:w="1680" w:type="dxa"/>
            <w:vAlign w:val="bottom"/>
            <w:tcBorders>
              <w:left w:val="single" w:sz="8" w:color="auto"/>
              <w:right w:val="single" w:sz="8" w:color="auto"/>
            </w:tcBorders>
          </w:tcPr>
          <w:p>
            <w:pPr>
              <w:ind w:left="40"/>
              <w:spacing w:after="0" w:line="268" w:lineRule="exact"/>
              <w:rPr>
                <w:sz w:val="20"/>
                <w:szCs w:val="20"/>
                <w:color w:val="auto"/>
              </w:rPr>
            </w:pPr>
            <w:r>
              <w:rPr>
                <w:rFonts w:ascii="Times New Roman" w:cs="Times New Roman" w:eastAsia="Times New Roman" w:hAnsi="Times New Roman"/>
                <w:sz w:val="26"/>
                <w:szCs w:val="26"/>
                <w:color w:val="auto"/>
              </w:rPr>
              <w:t>4 - поправоч-</w:t>
            </w:r>
          </w:p>
        </w:tc>
        <w:tc>
          <w:tcPr>
            <w:tcW w:w="2280" w:type="dxa"/>
            <w:vAlign w:val="bottom"/>
            <w:tcBorders>
              <w:right w:val="single" w:sz="8" w:color="auto"/>
            </w:tcBorders>
          </w:tcPr>
          <w:p>
            <w:pPr>
              <w:spacing w:after="0" w:line="268" w:lineRule="exact"/>
              <w:rPr>
                <w:sz w:val="20"/>
                <w:szCs w:val="20"/>
                <w:color w:val="auto"/>
              </w:rPr>
            </w:pPr>
            <w:r>
              <w:rPr>
                <w:rFonts w:ascii="Times New Roman" w:cs="Times New Roman" w:eastAsia="Times New Roman" w:hAnsi="Times New Roman"/>
                <w:sz w:val="26"/>
                <w:szCs w:val="26"/>
                <w:color w:val="auto"/>
              </w:rPr>
              <w:t>Комплект</w:t>
            </w:r>
          </w:p>
        </w:tc>
        <w:tc>
          <w:tcPr>
            <w:tcW w:w="1000" w:type="dxa"/>
            <w:vAlign w:val="bottom"/>
            <w:tcBorders>
              <w:right w:val="single" w:sz="8" w:color="auto"/>
            </w:tcBorders>
          </w:tcPr>
          <w:p>
            <w:pPr>
              <w:jc w:val="center"/>
              <w:spacing w:after="0" w:line="268" w:lineRule="exact"/>
              <w:rPr>
                <w:sz w:val="20"/>
                <w:szCs w:val="20"/>
                <w:color w:val="auto"/>
              </w:rPr>
            </w:pPr>
            <w:r>
              <w:rPr>
                <w:rFonts w:ascii="Times New Roman" w:cs="Times New Roman" w:eastAsia="Times New Roman" w:hAnsi="Times New Roman"/>
                <w:sz w:val="26"/>
                <w:szCs w:val="26"/>
                <w:color w:val="auto"/>
                <w:w w:val="98"/>
              </w:rPr>
              <w:t>Есть</w:t>
            </w:r>
          </w:p>
        </w:tc>
        <w:tc>
          <w:tcPr>
            <w:tcW w:w="1400" w:type="dxa"/>
            <w:vAlign w:val="bottom"/>
            <w:tcBorders>
              <w:right w:val="single" w:sz="8" w:color="auto"/>
            </w:tcBorders>
          </w:tcPr>
          <w:p>
            <w:pPr>
              <w:jc w:val="center"/>
              <w:spacing w:after="0" w:line="268" w:lineRule="exact"/>
              <w:rPr>
                <w:sz w:val="20"/>
                <w:szCs w:val="20"/>
                <w:color w:val="auto"/>
              </w:rPr>
            </w:pPr>
            <w:r>
              <w:rPr>
                <w:rFonts w:ascii="Times New Roman" w:cs="Times New Roman" w:eastAsia="Times New Roman" w:hAnsi="Times New Roman"/>
                <w:sz w:val="26"/>
                <w:szCs w:val="26"/>
                <w:color w:val="auto"/>
                <w:w w:val="95"/>
              </w:rPr>
              <w:t>Нет</w:t>
            </w:r>
          </w:p>
        </w:tc>
        <w:tc>
          <w:tcPr>
            <w:tcW w:w="1640" w:type="dxa"/>
            <w:vAlign w:val="bottom"/>
            <w:tcBorders>
              <w:right w:val="single" w:sz="8" w:color="auto"/>
            </w:tcBorders>
          </w:tcPr>
          <w:p>
            <w:pPr>
              <w:jc w:val="center"/>
              <w:spacing w:after="0" w:line="268" w:lineRule="exact"/>
              <w:rPr>
                <w:sz w:val="20"/>
                <w:szCs w:val="20"/>
                <w:color w:val="auto"/>
              </w:rPr>
            </w:pPr>
            <w:r>
              <w:rPr>
                <w:rFonts w:ascii="Times New Roman" w:cs="Times New Roman" w:eastAsia="Times New Roman" w:hAnsi="Times New Roman"/>
                <w:sz w:val="26"/>
                <w:szCs w:val="26"/>
                <w:color w:val="auto"/>
                <w:w w:val="98"/>
              </w:rPr>
              <w:t>Есть</w:t>
            </w:r>
          </w:p>
        </w:tc>
        <w:tc>
          <w:tcPr>
            <w:tcW w:w="1540" w:type="dxa"/>
            <w:vAlign w:val="bottom"/>
            <w:tcBorders>
              <w:right w:val="single" w:sz="8" w:color="auto"/>
            </w:tcBorders>
          </w:tcPr>
          <w:p>
            <w:pPr>
              <w:jc w:val="center"/>
              <w:spacing w:after="0" w:line="268" w:lineRule="exact"/>
              <w:rPr>
                <w:sz w:val="20"/>
                <w:szCs w:val="20"/>
                <w:color w:val="auto"/>
              </w:rPr>
            </w:pPr>
            <w:r>
              <w:rPr>
                <w:rFonts w:ascii="Times New Roman" w:cs="Times New Roman" w:eastAsia="Times New Roman" w:hAnsi="Times New Roman"/>
                <w:sz w:val="26"/>
                <w:szCs w:val="26"/>
                <w:color w:val="auto"/>
                <w:w w:val="95"/>
              </w:rPr>
              <w:t>Нет</w:t>
            </w:r>
          </w:p>
        </w:tc>
        <w:tc>
          <w:tcPr>
            <w:tcW w:w="0" w:type="dxa"/>
            <w:vAlign w:val="bottom"/>
          </w:tcPr>
          <w:p>
            <w:pPr>
              <w:spacing w:after="0"/>
              <w:rPr>
                <w:sz w:val="1"/>
                <w:szCs w:val="1"/>
                <w:color w:val="auto"/>
              </w:rPr>
            </w:pPr>
          </w:p>
        </w:tc>
      </w:tr>
      <w:tr>
        <w:trPr>
          <w:trHeight w:val="300"/>
        </w:trPr>
        <w:tc>
          <w:tcPr>
            <w:tcW w:w="1680" w:type="dxa"/>
            <w:vAlign w:val="bottom"/>
            <w:tcBorders>
              <w:left w:val="single" w:sz="8" w:color="auto"/>
              <w:right w:val="single" w:sz="8" w:color="auto"/>
            </w:tcBorders>
          </w:tcPr>
          <w:p>
            <w:pPr>
              <w:ind w:left="40"/>
              <w:spacing w:after="0"/>
              <w:rPr>
                <w:sz w:val="20"/>
                <w:szCs w:val="20"/>
                <w:color w:val="auto"/>
              </w:rPr>
            </w:pPr>
            <w:r>
              <w:rPr>
                <w:rFonts w:ascii="Times New Roman" w:cs="Times New Roman" w:eastAsia="Times New Roman" w:hAnsi="Times New Roman"/>
                <w:sz w:val="26"/>
                <w:szCs w:val="26"/>
                <w:color w:val="auto"/>
              </w:rPr>
              <w:t>ный коэф-</w:t>
            </w:r>
          </w:p>
        </w:tc>
        <w:tc>
          <w:tcPr>
            <w:tcW w:w="2280" w:type="dxa"/>
            <w:vAlign w:val="bottom"/>
            <w:tcBorders>
              <w:right w:val="single" w:sz="8" w:color="auto"/>
            </w:tcBorders>
          </w:tcPr>
          <w:p>
            <w:pPr>
              <w:spacing w:after="0"/>
              <w:rPr>
                <w:sz w:val="20"/>
                <w:szCs w:val="20"/>
                <w:color w:val="auto"/>
              </w:rPr>
            </w:pPr>
            <w:r>
              <w:rPr>
                <w:rFonts w:ascii="Times New Roman" w:cs="Times New Roman" w:eastAsia="Times New Roman" w:hAnsi="Times New Roman"/>
                <w:sz w:val="26"/>
                <w:szCs w:val="26"/>
                <w:color w:val="auto"/>
              </w:rPr>
              <w:t>инструментов и</w:t>
            </w:r>
          </w:p>
        </w:tc>
        <w:tc>
          <w:tcPr>
            <w:tcW w:w="1000" w:type="dxa"/>
            <w:vAlign w:val="bottom"/>
            <w:tcBorders>
              <w:right w:val="single" w:sz="8" w:color="auto"/>
            </w:tcBorders>
          </w:tcPr>
          <w:p>
            <w:pPr>
              <w:spacing w:after="0"/>
              <w:rPr>
                <w:sz w:val="24"/>
                <w:szCs w:val="24"/>
                <w:color w:val="auto"/>
              </w:rPr>
            </w:pPr>
          </w:p>
        </w:tc>
        <w:tc>
          <w:tcPr>
            <w:tcW w:w="1400" w:type="dxa"/>
            <w:vAlign w:val="bottom"/>
            <w:tcBorders>
              <w:right w:val="single" w:sz="8" w:color="auto"/>
            </w:tcBorders>
          </w:tcPr>
          <w:p>
            <w:pPr>
              <w:spacing w:after="0"/>
              <w:rPr>
                <w:sz w:val="24"/>
                <w:szCs w:val="24"/>
                <w:color w:val="auto"/>
              </w:rPr>
            </w:pPr>
          </w:p>
        </w:tc>
        <w:tc>
          <w:tcPr>
            <w:tcW w:w="1640" w:type="dxa"/>
            <w:vAlign w:val="bottom"/>
            <w:tcBorders>
              <w:right w:val="single" w:sz="8" w:color="auto"/>
            </w:tcBorders>
          </w:tcPr>
          <w:p>
            <w:pPr>
              <w:spacing w:after="0"/>
              <w:rPr>
                <w:sz w:val="24"/>
                <w:szCs w:val="24"/>
                <w:color w:val="auto"/>
              </w:rPr>
            </w:pPr>
          </w:p>
        </w:tc>
        <w:tc>
          <w:tcPr>
            <w:tcW w:w="154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99"/>
        </w:trPr>
        <w:tc>
          <w:tcPr>
            <w:tcW w:w="1680" w:type="dxa"/>
            <w:vAlign w:val="bottom"/>
            <w:tcBorders>
              <w:left w:val="single" w:sz="8" w:color="auto"/>
              <w:right w:val="single" w:sz="8" w:color="auto"/>
            </w:tcBorders>
          </w:tcPr>
          <w:p>
            <w:pPr>
              <w:ind w:left="40"/>
              <w:spacing w:after="0"/>
              <w:rPr>
                <w:sz w:val="20"/>
                <w:szCs w:val="20"/>
                <w:color w:val="auto"/>
              </w:rPr>
            </w:pPr>
            <w:r>
              <w:rPr>
                <w:rFonts w:ascii="Times New Roman" w:cs="Times New Roman" w:eastAsia="Times New Roman" w:hAnsi="Times New Roman"/>
                <w:sz w:val="26"/>
                <w:szCs w:val="26"/>
                <w:color w:val="auto"/>
              </w:rPr>
              <w:t>фициент (в</w:t>
            </w:r>
          </w:p>
        </w:tc>
        <w:tc>
          <w:tcPr>
            <w:tcW w:w="2280" w:type="dxa"/>
            <w:vAlign w:val="bottom"/>
            <w:tcBorders>
              <w:right w:val="single" w:sz="8" w:color="auto"/>
            </w:tcBorders>
          </w:tcPr>
          <w:p>
            <w:pPr>
              <w:spacing w:after="0"/>
              <w:rPr>
                <w:sz w:val="20"/>
                <w:szCs w:val="20"/>
                <w:color w:val="auto"/>
              </w:rPr>
            </w:pPr>
            <w:r>
              <w:rPr>
                <w:rFonts w:ascii="Times New Roman" w:cs="Times New Roman" w:eastAsia="Times New Roman" w:hAnsi="Times New Roman"/>
                <w:sz w:val="26"/>
                <w:szCs w:val="26"/>
                <w:color w:val="auto"/>
              </w:rPr>
              <w:t>приспособлений</w:t>
            </w:r>
          </w:p>
        </w:tc>
        <w:tc>
          <w:tcPr>
            <w:tcW w:w="1000" w:type="dxa"/>
            <w:vAlign w:val="bottom"/>
            <w:tcBorders>
              <w:right w:val="single" w:sz="8" w:color="auto"/>
            </w:tcBorders>
          </w:tcPr>
          <w:p>
            <w:pPr>
              <w:spacing w:after="0"/>
              <w:rPr>
                <w:sz w:val="24"/>
                <w:szCs w:val="24"/>
                <w:color w:val="auto"/>
              </w:rPr>
            </w:pPr>
          </w:p>
        </w:tc>
        <w:tc>
          <w:tcPr>
            <w:tcW w:w="1400" w:type="dxa"/>
            <w:vAlign w:val="bottom"/>
            <w:tcBorders>
              <w:right w:val="single" w:sz="8" w:color="auto"/>
            </w:tcBorders>
          </w:tcPr>
          <w:p>
            <w:pPr>
              <w:spacing w:after="0"/>
              <w:rPr>
                <w:sz w:val="24"/>
                <w:szCs w:val="24"/>
                <w:color w:val="auto"/>
              </w:rPr>
            </w:pPr>
          </w:p>
        </w:tc>
        <w:tc>
          <w:tcPr>
            <w:tcW w:w="1640" w:type="dxa"/>
            <w:vAlign w:val="bottom"/>
            <w:tcBorders>
              <w:right w:val="single" w:sz="8" w:color="auto"/>
            </w:tcBorders>
          </w:tcPr>
          <w:p>
            <w:pPr>
              <w:spacing w:after="0"/>
              <w:rPr>
                <w:sz w:val="24"/>
                <w:szCs w:val="24"/>
                <w:color w:val="auto"/>
              </w:rPr>
            </w:pPr>
          </w:p>
        </w:tc>
        <w:tc>
          <w:tcPr>
            <w:tcW w:w="154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0"/>
        </w:trPr>
        <w:tc>
          <w:tcPr>
            <w:tcW w:w="1680" w:type="dxa"/>
            <w:vAlign w:val="bottom"/>
            <w:tcBorders>
              <w:left w:val="single" w:sz="8" w:color="auto"/>
              <w:right w:val="single" w:sz="8" w:color="auto"/>
            </w:tcBorders>
            <w:vMerge w:val="restart"/>
          </w:tcPr>
          <w:p>
            <w:pPr>
              <w:ind w:left="40"/>
              <w:spacing w:after="0"/>
              <w:rPr>
                <w:sz w:val="20"/>
                <w:szCs w:val="20"/>
                <w:color w:val="auto"/>
              </w:rPr>
            </w:pPr>
            <w:r>
              <w:rPr>
                <w:rFonts w:ascii="Times New Roman" w:cs="Times New Roman" w:eastAsia="Times New Roman" w:hAnsi="Times New Roman"/>
                <w:sz w:val="26"/>
                <w:szCs w:val="26"/>
                <w:color w:val="auto"/>
              </w:rPr>
              <w:t>абсолютном</w:t>
            </w:r>
          </w:p>
        </w:tc>
        <w:tc>
          <w:tcPr>
            <w:tcW w:w="2280" w:type="dxa"/>
            <w:vAlign w:val="bottom"/>
            <w:tcBorders>
              <w:bottom w:val="single" w:sz="8" w:color="auto"/>
              <w:right w:val="single" w:sz="8" w:color="auto"/>
            </w:tcBorders>
          </w:tcPr>
          <w:p>
            <w:pPr>
              <w:spacing w:after="0" w:line="20" w:lineRule="exact"/>
              <w:rPr>
                <w:sz w:val="1"/>
                <w:szCs w:val="1"/>
                <w:color w:val="auto"/>
              </w:rPr>
            </w:pPr>
          </w:p>
        </w:tc>
        <w:tc>
          <w:tcPr>
            <w:tcW w:w="1000" w:type="dxa"/>
            <w:vAlign w:val="bottom"/>
            <w:tcBorders>
              <w:bottom w:val="single" w:sz="8" w:color="auto"/>
              <w:right w:val="single" w:sz="8" w:color="auto"/>
            </w:tcBorders>
          </w:tcPr>
          <w:p>
            <w:pPr>
              <w:spacing w:after="0" w:line="20" w:lineRule="exact"/>
              <w:rPr>
                <w:sz w:val="1"/>
                <w:szCs w:val="1"/>
                <w:color w:val="auto"/>
              </w:rPr>
            </w:pPr>
          </w:p>
        </w:tc>
        <w:tc>
          <w:tcPr>
            <w:tcW w:w="1400" w:type="dxa"/>
            <w:vAlign w:val="bottom"/>
            <w:tcBorders>
              <w:bottom w:val="single" w:sz="8" w:color="auto"/>
              <w:right w:val="single" w:sz="8" w:color="auto"/>
            </w:tcBorders>
          </w:tcPr>
          <w:p>
            <w:pPr>
              <w:spacing w:after="0" w:line="20" w:lineRule="exact"/>
              <w:rPr>
                <w:sz w:val="1"/>
                <w:szCs w:val="1"/>
                <w:color w:val="auto"/>
              </w:rPr>
            </w:pPr>
          </w:p>
        </w:tc>
        <w:tc>
          <w:tcPr>
            <w:tcW w:w="1640" w:type="dxa"/>
            <w:vAlign w:val="bottom"/>
            <w:tcBorders>
              <w:bottom w:val="single" w:sz="8" w:color="auto"/>
              <w:right w:val="single" w:sz="8" w:color="auto"/>
            </w:tcBorders>
          </w:tcPr>
          <w:p>
            <w:pPr>
              <w:spacing w:after="0" w:line="20" w:lineRule="exact"/>
              <w:rPr>
                <w:sz w:val="1"/>
                <w:szCs w:val="1"/>
                <w:color w:val="auto"/>
              </w:rPr>
            </w:pPr>
          </w:p>
        </w:tc>
        <w:tc>
          <w:tcPr>
            <w:tcW w:w="1540" w:type="dxa"/>
            <w:vAlign w:val="bottom"/>
            <w:tcBorders>
              <w:bottom w:val="single" w:sz="8" w:color="auto"/>
              <w:right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258"/>
        </w:trPr>
        <w:tc>
          <w:tcPr>
            <w:tcW w:w="1680" w:type="dxa"/>
            <w:vAlign w:val="bottom"/>
            <w:tcBorders>
              <w:left w:val="single" w:sz="8" w:color="auto"/>
              <w:right w:val="single" w:sz="8" w:color="auto"/>
            </w:tcBorders>
            <w:vMerge w:val="continue"/>
          </w:tcPr>
          <w:p>
            <w:pPr>
              <w:spacing w:after="0"/>
              <w:rPr>
                <w:sz w:val="22"/>
                <w:szCs w:val="22"/>
                <w:color w:val="auto"/>
              </w:rPr>
            </w:pPr>
          </w:p>
        </w:tc>
        <w:tc>
          <w:tcPr>
            <w:tcW w:w="2280" w:type="dxa"/>
            <w:vAlign w:val="bottom"/>
            <w:tcBorders>
              <w:right w:val="single" w:sz="8" w:color="auto"/>
            </w:tcBorders>
          </w:tcPr>
          <w:p>
            <w:pPr>
              <w:spacing w:after="0" w:line="258" w:lineRule="exact"/>
              <w:rPr>
                <w:sz w:val="20"/>
                <w:szCs w:val="20"/>
                <w:color w:val="auto"/>
              </w:rPr>
            </w:pPr>
            <w:r>
              <w:rPr>
                <w:rFonts w:ascii="Times New Roman" w:cs="Times New Roman" w:eastAsia="Times New Roman" w:hAnsi="Times New Roman"/>
                <w:sz w:val="26"/>
                <w:szCs w:val="26"/>
                <w:color w:val="auto"/>
              </w:rPr>
              <w:t>Поправка на цену</w:t>
            </w:r>
          </w:p>
        </w:tc>
        <w:tc>
          <w:tcPr>
            <w:tcW w:w="1000" w:type="dxa"/>
            <w:vAlign w:val="bottom"/>
            <w:tcBorders>
              <w:right w:val="single" w:sz="8" w:color="auto"/>
            </w:tcBorders>
          </w:tcPr>
          <w:p>
            <w:pPr>
              <w:spacing w:after="0"/>
              <w:rPr>
                <w:sz w:val="22"/>
                <w:szCs w:val="22"/>
                <w:color w:val="auto"/>
              </w:rPr>
            </w:pPr>
          </w:p>
        </w:tc>
        <w:tc>
          <w:tcPr>
            <w:tcW w:w="1400" w:type="dxa"/>
            <w:vAlign w:val="bottom"/>
            <w:tcBorders>
              <w:right w:val="single" w:sz="8" w:color="auto"/>
            </w:tcBorders>
          </w:tcPr>
          <w:p>
            <w:pPr>
              <w:jc w:val="center"/>
              <w:spacing w:after="0" w:line="258" w:lineRule="exact"/>
              <w:rPr>
                <w:sz w:val="20"/>
                <w:szCs w:val="20"/>
                <w:color w:val="auto"/>
              </w:rPr>
            </w:pPr>
            <w:r>
              <w:rPr>
                <w:rFonts w:ascii="Times New Roman" w:cs="Times New Roman" w:eastAsia="Times New Roman" w:hAnsi="Times New Roman"/>
                <w:sz w:val="26"/>
                <w:szCs w:val="26"/>
                <w:color w:val="auto"/>
                <w:w w:val="95"/>
              </w:rPr>
              <w:t>+2000</w:t>
            </w:r>
          </w:p>
        </w:tc>
        <w:tc>
          <w:tcPr>
            <w:tcW w:w="1640" w:type="dxa"/>
            <w:vAlign w:val="bottom"/>
            <w:tcBorders>
              <w:right w:val="single" w:sz="8" w:color="auto"/>
            </w:tcBorders>
          </w:tcPr>
          <w:p>
            <w:pPr>
              <w:jc w:val="center"/>
              <w:spacing w:after="0" w:line="258" w:lineRule="exact"/>
              <w:rPr>
                <w:sz w:val="20"/>
                <w:szCs w:val="20"/>
                <w:color w:val="auto"/>
              </w:rPr>
            </w:pPr>
            <w:r>
              <w:rPr>
                <w:rFonts w:ascii="Times New Roman" w:cs="Times New Roman" w:eastAsia="Times New Roman" w:hAnsi="Times New Roman"/>
                <w:sz w:val="26"/>
                <w:szCs w:val="26"/>
                <w:color w:val="auto"/>
                <w:w w:val="91"/>
              </w:rPr>
              <w:t>_</w:t>
            </w:r>
          </w:p>
        </w:tc>
        <w:tc>
          <w:tcPr>
            <w:tcW w:w="1540" w:type="dxa"/>
            <w:vAlign w:val="bottom"/>
            <w:tcBorders>
              <w:right w:val="single" w:sz="8" w:color="auto"/>
            </w:tcBorders>
          </w:tcPr>
          <w:p>
            <w:pPr>
              <w:jc w:val="center"/>
              <w:spacing w:after="0" w:line="258" w:lineRule="exact"/>
              <w:rPr>
                <w:sz w:val="20"/>
                <w:szCs w:val="20"/>
                <w:color w:val="auto"/>
              </w:rPr>
            </w:pPr>
            <w:r>
              <w:rPr>
                <w:rFonts w:ascii="Times New Roman" w:cs="Times New Roman" w:eastAsia="Times New Roman" w:hAnsi="Times New Roman"/>
                <w:sz w:val="26"/>
                <w:szCs w:val="26"/>
                <w:color w:val="auto"/>
                <w:w w:val="95"/>
              </w:rPr>
              <w:t>+2000</w:t>
            </w:r>
          </w:p>
        </w:tc>
        <w:tc>
          <w:tcPr>
            <w:tcW w:w="0" w:type="dxa"/>
            <w:vAlign w:val="bottom"/>
          </w:tcPr>
          <w:p>
            <w:pPr>
              <w:spacing w:after="0"/>
              <w:rPr>
                <w:sz w:val="1"/>
                <w:szCs w:val="1"/>
                <w:color w:val="auto"/>
              </w:rPr>
            </w:pPr>
          </w:p>
        </w:tc>
      </w:tr>
      <w:tr>
        <w:trPr>
          <w:trHeight w:val="308"/>
        </w:trPr>
        <w:tc>
          <w:tcPr>
            <w:tcW w:w="1680" w:type="dxa"/>
            <w:vAlign w:val="bottom"/>
            <w:tcBorders>
              <w:left w:val="single" w:sz="8" w:color="auto"/>
              <w:right w:val="single" w:sz="8" w:color="auto"/>
            </w:tcBorders>
          </w:tcPr>
          <w:p>
            <w:pPr>
              <w:ind w:left="40"/>
              <w:spacing w:after="0"/>
              <w:rPr>
                <w:sz w:val="20"/>
                <w:szCs w:val="20"/>
                <w:color w:val="auto"/>
              </w:rPr>
            </w:pPr>
            <w:r>
              <w:rPr>
                <w:rFonts w:ascii="Times New Roman" w:cs="Times New Roman" w:eastAsia="Times New Roman" w:hAnsi="Times New Roman"/>
                <w:sz w:val="26"/>
                <w:szCs w:val="26"/>
                <w:color w:val="auto"/>
              </w:rPr>
              <w:t>выражении)</w:t>
            </w:r>
          </w:p>
        </w:tc>
        <w:tc>
          <w:tcPr>
            <w:tcW w:w="2280" w:type="dxa"/>
            <w:vAlign w:val="bottom"/>
            <w:tcBorders>
              <w:right w:val="single" w:sz="8" w:color="auto"/>
            </w:tcBorders>
          </w:tcPr>
          <w:p>
            <w:pPr>
              <w:spacing w:after="0"/>
              <w:rPr>
                <w:sz w:val="20"/>
                <w:szCs w:val="20"/>
                <w:color w:val="auto"/>
              </w:rPr>
            </w:pPr>
            <w:r>
              <w:rPr>
                <w:rFonts w:ascii="Times New Roman" w:cs="Times New Roman" w:eastAsia="Times New Roman" w:hAnsi="Times New Roman"/>
                <w:sz w:val="26"/>
                <w:szCs w:val="26"/>
                <w:color w:val="auto"/>
              </w:rPr>
              <w:t>комплекта</w:t>
            </w:r>
          </w:p>
        </w:tc>
        <w:tc>
          <w:tcPr>
            <w:tcW w:w="1000" w:type="dxa"/>
            <w:vAlign w:val="bottom"/>
            <w:tcBorders>
              <w:right w:val="single" w:sz="8" w:color="auto"/>
            </w:tcBorders>
          </w:tcPr>
          <w:p>
            <w:pPr>
              <w:spacing w:after="0"/>
              <w:rPr>
                <w:sz w:val="24"/>
                <w:szCs w:val="24"/>
                <w:color w:val="auto"/>
              </w:rPr>
            </w:pPr>
          </w:p>
        </w:tc>
        <w:tc>
          <w:tcPr>
            <w:tcW w:w="1400" w:type="dxa"/>
            <w:vAlign w:val="bottom"/>
            <w:tcBorders>
              <w:right w:val="single" w:sz="8" w:color="auto"/>
            </w:tcBorders>
          </w:tcPr>
          <w:p>
            <w:pPr>
              <w:spacing w:after="0"/>
              <w:rPr>
                <w:sz w:val="24"/>
                <w:szCs w:val="24"/>
                <w:color w:val="auto"/>
              </w:rPr>
            </w:pPr>
          </w:p>
        </w:tc>
        <w:tc>
          <w:tcPr>
            <w:tcW w:w="1640" w:type="dxa"/>
            <w:vAlign w:val="bottom"/>
            <w:tcBorders>
              <w:right w:val="single" w:sz="8" w:color="auto"/>
            </w:tcBorders>
          </w:tcPr>
          <w:p>
            <w:pPr>
              <w:spacing w:after="0"/>
              <w:rPr>
                <w:sz w:val="24"/>
                <w:szCs w:val="24"/>
                <w:color w:val="auto"/>
              </w:rPr>
            </w:pPr>
          </w:p>
        </w:tc>
        <w:tc>
          <w:tcPr>
            <w:tcW w:w="154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99"/>
        </w:trPr>
        <w:tc>
          <w:tcPr>
            <w:tcW w:w="1680" w:type="dxa"/>
            <w:vAlign w:val="bottom"/>
            <w:tcBorders>
              <w:left w:val="single" w:sz="8" w:color="auto"/>
              <w:right w:val="single" w:sz="8" w:color="auto"/>
            </w:tcBorders>
          </w:tcPr>
          <w:p>
            <w:pPr>
              <w:spacing w:after="0"/>
              <w:rPr>
                <w:sz w:val="24"/>
                <w:szCs w:val="24"/>
                <w:color w:val="auto"/>
              </w:rPr>
            </w:pPr>
          </w:p>
        </w:tc>
        <w:tc>
          <w:tcPr>
            <w:tcW w:w="2280" w:type="dxa"/>
            <w:vAlign w:val="bottom"/>
            <w:tcBorders>
              <w:right w:val="single" w:sz="8" w:color="auto"/>
            </w:tcBorders>
          </w:tcPr>
          <w:p>
            <w:pPr>
              <w:spacing w:after="0"/>
              <w:rPr>
                <w:sz w:val="20"/>
                <w:szCs w:val="20"/>
                <w:color w:val="auto"/>
              </w:rPr>
            </w:pPr>
            <w:r>
              <w:rPr>
                <w:rFonts w:ascii="Times New Roman" w:cs="Times New Roman" w:eastAsia="Times New Roman" w:hAnsi="Times New Roman"/>
                <w:sz w:val="26"/>
                <w:szCs w:val="26"/>
                <w:color w:val="auto"/>
              </w:rPr>
              <w:t>инструментов и</w:t>
            </w:r>
          </w:p>
        </w:tc>
        <w:tc>
          <w:tcPr>
            <w:tcW w:w="1000" w:type="dxa"/>
            <w:vAlign w:val="bottom"/>
            <w:tcBorders>
              <w:right w:val="single" w:sz="8" w:color="auto"/>
            </w:tcBorders>
          </w:tcPr>
          <w:p>
            <w:pPr>
              <w:spacing w:after="0"/>
              <w:rPr>
                <w:sz w:val="24"/>
                <w:szCs w:val="24"/>
                <w:color w:val="auto"/>
              </w:rPr>
            </w:pPr>
          </w:p>
        </w:tc>
        <w:tc>
          <w:tcPr>
            <w:tcW w:w="1400" w:type="dxa"/>
            <w:vAlign w:val="bottom"/>
            <w:tcBorders>
              <w:right w:val="single" w:sz="8" w:color="auto"/>
            </w:tcBorders>
          </w:tcPr>
          <w:p>
            <w:pPr>
              <w:spacing w:after="0"/>
              <w:rPr>
                <w:sz w:val="24"/>
                <w:szCs w:val="24"/>
                <w:color w:val="auto"/>
              </w:rPr>
            </w:pPr>
          </w:p>
        </w:tc>
        <w:tc>
          <w:tcPr>
            <w:tcW w:w="1640" w:type="dxa"/>
            <w:vAlign w:val="bottom"/>
            <w:tcBorders>
              <w:right w:val="single" w:sz="8" w:color="auto"/>
            </w:tcBorders>
          </w:tcPr>
          <w:p>
            <w:pPr>
              <w:spacing w:after="0"/>
              <w:rPr>
                <w:sz w:val="24"/>
                <w:szCs w:val="24"/>
                <w:color w:val="auto"/>
              </w:rPr>
            </w:pPr>
          </w:p>
        </w:tc>
        <w:tc>
          <w:tcPr>
            <w:tcW w:w="154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20"/>
        </w:trPr>
        <w:tc>
          <w:tcPr>
            <w:tcW w:w="1680" w:type="dxa"/>
            <w:vAlign w:val="bottom"/>
            <w:tcBorders>
              <w:left w:val="single" w:sz="8" w:color="auto"/>
              <w:right w:val="single" w:sz="8" w:color="auto"/>
            </w:tcBorders>
          </w:tcPr>
          <w:p>
            <w:pPr>
              <w:spacing w:after="0"/>
              <w:rPr>
                <w:sz w:val="24"/>
                <w:szCs w:val="24"/>
                <w:color w:val="auto"/>
              </w:rPr>
            </w:pPr>
          </w:p>
        </w:tc>
        <w:tc>
          <w:tcPr>
            <w:tcW w:w="2280" w:type="dxa"/>
            <w:vAlign w:val="bottom"/>
            <w:tcBorders>
              <w:bottom w:val="single" w:sz="8" w:color="auto"/>
              <w:right w:val="single" w:sz="8" w:color="auto"/>
            </w:tcBorders>
          </w:tcPr>
          <w:p>
            <w:pPr>
              <w:spacing w:after="0"/>
              <w:rPr>
                <w:sz w:val="20"/>
                <w:szCs w:val="20"/>
                <w:color w:val="auto"/>
              </w:rPr>
            </w:pPr>
            <w:r>
              <w:rPr>
                <w:rFonts w:ascii="Times New Roman" w:cs="Times New Roman" w:eastAsia="Times New Roman" w:hAnsi="Times New Roman"/>
                <w:sz w:val="26"/>
                <w:szCs w:val="26"/>
                <w:color w:val="auto"/>
              </w:rPr>
              <w:t>приспособлений</w:t>
            </w:r>
          </w:p>
        </w:tc>
        <w:tc>
          <w:tcPr>
            <w:tcW w:w="1000" w:type="dxa"/>
            <w:vAlign w:val="bottom"/>
            <w:tcBorders>
              <w:bottom w:val="single" w:sz="8" w:color="auto"/>
              <w:right w:val="single" w:sz="8" w:color="auto"/>
            </w:tcBorders>
          </w:tcPr>
          <w:p>
            <w:pPr>
              <w:spacing w:after="0"/>
              <w:rPr>
                <w:sz w:val="24"/>
                <w:szCs w:val="24"/>
                <w:color w:val="auto"/>
              </w:rPr>
            </w:pPr>
          </w:p>
        </w:tc>
        <w:tc>
          <w:tcPr>
            <w:tcW w:w="1400" w:type="dxa"/>
            <w:vAlign w:val="bottom"/>
            <w:tcBorders>
              <w:bottom w:val="single" w:sz="8" w:color="auto"/>
              <w:right w:val="single" w:sz="8" w:color="auto"/>
            </w:tcBorders>
          </w:tcPr>
          <w:p>
            <w:pPr>
              <w:spacing w:after="0"/>
              <w:rPr>
                <w:sz w:val="24"/>
                <w:szCs w:val="24"/>
                <w:color w:val="auto"/>
              </w:rPr>
            </w:pPr>
          </w:p>
        </w:tc>
        <w:tc>
          <w:tcPr>
            <w:tcW w:w="1640" w:type="dxa"/>
            <w:vAlign w:val="bottom"/>
            <w:tcBorders>
              <w:bottom w:val="single" w:sz="8" w:color="auto"/>
              <w:right w:val="single" w:sz="8" w:color="auto"/>
            </w:tcBorders>
          </w:tcPr>
          <w:p>
            <w:pPr>
              <w:spacing w:after="0"/>
              <w:rPr>
                <w:sz w:val="24"/>
                <w:szCs w:val="24"/>
                <w:color w:val="auto"/>
              </w:rPr>
            </w:pPr>
          </w:p>
        </w:tc>
        <w:tc>
          <w:tcPr>
            <w:tcW w:w="154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68"/>
        </w:trPr>
        <w:tc>
          <w:tcPr>
            <w:tcW w:w="1680" w:type="dxa"/>
            <w:vAlign w:val="bottom"/>
            <w:tcBorders>
              <w:left w:val="single" w:sz="8" w:color="auto"/>
              <w:right w:val="single" w:sz="8" w:color="auto"/>
            </w:tcBorders>
          </w:tcPr>
          <w:p>
            <w:pPr>
              <w:spacing w:after="0"/>
              <w:rPr>
                <w:sz w:val="23"/>
                <w:szCs w:val="23"/>
                <w:color w:val="auto"/>
              </w:rPr>
            </w:pPr>
          </w:p>
        </w:tc>
        <w:tc>
          <w:tcPr>
            <w:tcW w:w="2280" w:type="dxa"/>
            <w:vAlign w:val="bottom"/>
            <w:tcBorders>
              <w:right w:val="single" w:sz="8" w:color="auto"/>
            </w:tcBorders>
          </w:tcPr>
          <w:p>
            <w:pPr>
              <w:spacing w:after="0" w:line="268" w:lineRule="exact"/>
              <w:rPr>
                <w:sz w:val="20"/>
                <w:szCs w:val="20"/>
                <w:color w:val="auto"/>
              </w:rPr>
            </w:pPr>
            <w:r>
              <w:rPr>
                <w:rFonts w:ascii="Times New Roman" w:cs="Times New Roman" w:eastAsia="Times New Roman" w:hAnsi="Times New Roman"/>
                <w:sz w:val="26"/>
                <w:szCs w:val="26"/>
                <w:color w:val="auto"/>
              </w:rPr>
              <w:t>Цена</w:t>
            </w:r>
          </w:p>
        </w:tc>
        <w:tc>
          <w:tcPr>
            <w:tcW w:w="1000" w:type="dxa"/>
            <w:vAlign w:val="bottom"/>
            <w:tcBorders>
              <w:right w:val="single" w:sz="8" w:color="auto"/>
            </w:tcBorders>
          </w:tcPr>
          <w:p>
            <w:pPr>
              <w:jc w:val="center"/>
              <w:spacing w:after="0" w:line="268" w:lineRule="exact"/>
              <w:rPr>
                <w:sz w:val="20"/>
                <w:szCs w:val="20"/>
                <w:color w:val="auto"/>
              </w:rPr>
            </w:pPr>
            <w:r>
              <w:rPr>
                <w:rFonts w:ascii="Times New Roman" w:cs="Times New Roman" w:eastAsia="Times New Roman" w:hAnsi="Times New Roman"/>
                <w:sz w:val="26"/>
                <w:szCs w:val="26"/>
                <w:color w:val="auto"/>
                <w:w w:val="94"/>
              </w:rPr>
              <w:t>300928</w:t>
            </w:r>
          </w:p>
        </w:tc>
        <w:tc>
          <w:tcPr>
            <w:tcW w:w="1400" w:type="dxa"/>
            <w:vAlign w:val="bottom"/>
            <w:tcBorders>
              <w:right w:val="single" w:sz="8" w:color="auto"/>
            </w:tcBorders>
          </w:tcPr>
          <w:p>
            <w:pPr>
              <w:spacing w:after="0"/>
              <w:rPr>
                <w:sz w:val="23"/>
                <w:szCs w:val="23"/>
                <w:color w:val="auto"/>
              </w:rPr>
            </w:pPr>
          </w:p>
        </w:tc>
        <w:tc>
          <w:tcPr>
            <w:tcW w:w="1640" w:type="dxa"/>
            <w:vAlign w:val="bottom"/>
            <w:tcBorders>
              <w:right w:val="single" w:sz="8" w:color="auto"/>
            </w:tcBorders>
          </w:tcPr>
          <w:p>
            <w:pPr>
              <w:spacing w:after="0"/>
              <w:rPr>
                <w:sz w:val="23"/>
                <w:szCs w:val="23"/>
                <w:color w:val="auto"/>
              </w:rPr>
            </w:pPr>
          </w:p>
        </w:tc>
        <w:tc>
          <w:tcPr>
            <w:tcW w:w="154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299"/>
        </w:trPr>
        <w:tc>
          <w:tcPr>
            <w:tcW w:w="1680" w:type="dxa"/>
            <w:vAlign w:val="bottom"/>
            <w:tcBorders>
              <w:left w:val="single" w:sz="8" w:color="auto"/>
              <w:right w:val="single" w:sz="8" w:color="auto"/>
            </w:tcBorders>
          </w:tcPr>
          <w:p>
            <w:pPr>
              <w:spacing w:after="0"/>
              <w:rPr>
                <w:sz w:val="24"/>
                <w:szCs w:val="24"/>
                <w:color w:val="auto"/>
              </w:rPr>
            </w:pPr>
          </w:p>
        </w:tc>
        <w:tc>
          <w:tcPr>
            <w:tcW w:w="2280" w:type="dxa"/>
            <w:vAlign w:val="bottom"/>
            <w:tcBorders>
              <w:right w:val="single" w:sz="8" w:color="auto"/>
            </w:tcBorders>
          </w:tcPr>
          <w:p>
            <w:pPr>
              <w:spacing w:after="0"/>
              <w:rPr>
                <w:sz w:val="20"/>
                <w:szCs w:val="20"/>
                <w:color w:val="auto"/>
              </w:rPr>
            </w:pPr>
            <w:r>
              <w:rPr>
                <w:rFonts w:ascii="Times New Roman" w:cs="Times New Roman" w:eastAsia="Times New Roman" w:hAnsi="Times New Roman"/>
                <w:sz w:val="26"/>
                <w:szCs w:val="26"/>
                <w:color w:val="auto"/>
              </w:rPr>
              <w:t>скорректированная,</w:t>
            </w:r>
          </w:p>
        </w:tc>
        <w:tc>
          <w:tcPr>
            <w:tcW w:w="1000" w:type="dxa"/>
            <w:vAlign w:val="bottom"/>
            <w:tcBorders>
              <w:right w:val="single" w:sz="8" w:color="auto"/>
            </w:tcBorders>
          </w:tcPr>
          <w:p>
            <w:pPr>
              <w:spacing w:after="0"/>
              <w:rPr>
                <w:sz w:val="24"/>
                <w:szCs w:val="24"/>
                <w:color w:val="auto"/>
              </w:rPr>
            </w:pPr>
          </w:p>
        </w:tc>
        <w:tc>
          <w:tcPr>
            <w:tcW w:w="1400" w:type="dxa"/>
            <w:vAlign w:val="bottom"/>
            <w:tcBorders>
              <w:right w:val="single" w:sz="8" w:color="auto"/>
            </w:tcBorders>
          </w:tcPr>
          <w:p>
            <w:pPr>
              <w:spacing w:after="0"/>
              <w:rPr>
                <w:sz w:val="24"/>
                <w:szCs w:val="24"/>
                <w:color w:val="auto"/>
              </w:rPr>
            </w:pPr>
          </w:p>
        </w:tc>
        <w:tc>
          <w:tcPr>
            <w:tcW w:w="1640" w:type="dxa"/>
            <w:vAlign w:val="bottom"/>
            <w:tcBorders>
              <w:right w:val="single" w:sz="8" w:color="auto"/>
            </w:tcBorders>
          </w:tcPr>
          <w:p>
            <w:pPr>
              <w:spacing w:after="0"/>
              <w:rPr>
                <w:sz w:val="24"/>
                <w:szCs w:val="24"/>
                <w:color w:val="auto"/>
              </w:rPr>
            </w:pPr>
          </w:p>
        </w:tc>
        <w:tc>
          <w:tcPr>
            <w:tcW w:w="154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20"/>
        </w:trPr>
        <w:tc>
          <w:tcPr>
            <w:tcW w:w="1680" w:type="dxa"/>
            <w:vAlign w:val="bottom"/>
            <w:tcBorders>
              <w:left w:val="single" w:sz="8" w:color="auto"/>
              <w:bottom w:val="single" w:sz="8" w:color="auto"/>
              <w:right w:val="single" w:sz="8" w:color="auto"/>
            </w:tcBorders>
          </w:tcPr>
          <w:p>
            <w:pPr>
              <w:spacing w:after="0"/>
              <w:rPr>
                <w:sz w:val="24"/>
                <w:szCs w:val="24"/>
                <w:color w:val="auto"/>
              </w:rPr>
            </w:pPr>
          </w:p>
        </w:tc>
        <w:tc>
          <w:tcPr>
            <w:tcW w:w="2280" w:type="dxa"/>
            <w:vAlign w:val="bottom"/>
            <w:tcBorders>
              <w:bottom w:val="single" w:sz="8" w:color="auto"/>
              <w:right w:val="single" w:sz="8" w:color="auto"/>
            </w:tcBorders>
          </w:tcPr>
          <w:p>
            <w:pPr>
              <w:spacing w:after="0"/>
              <w:rPr>
                <w:sz w:val="20"/>
                <w:szCs w:val="20"/>
                <w:color w:val="auto"/>
              </w:rPr>
            </w:pPr>
            <w:r>
              <w:rPr>
                <w:rFonts w:ascii="Times New Roman" w:cs="Times New Roman" w:eastAsia="Times New Roman" w:hAnsi="Times New Roman"/>
                <w:sz w:val="26"/>
                <w:szCs w:val="26"/>
                <w:color w:val="auto"/>
              </w:rPr>
              <w:t>руб.</w:t>
            </w:r>
          </w:p>
        </w:tc>
        <w:tc>
          <w:tcPr>
            <w:tcW w:w="1000" w:type="dxa"/>
            <w:vAlign w:val="bottom"/>
            <w:tcBorders>
              <w:bottom w:val="single" w:sz="8" w:color="auto"/>
              <w:right w:val="single" w:sz="8" w:color="auto"/>
            </w:tcBorders>
          </w:tcPr>
          <w:p>
            <w:pPr>
              <w:spacing w:after="0"/>
              <w:rPr>
                <w:sz w:val="24"/>
                <w:szCs w:val="24"/>
                <w:color w:val="auto"/>
              </w:rPr>
            </w:pPr>
          </w:p>
        </w:tc>
        <w:tc>
          <w:tcPr>
            <w:tcW w:w="1400" w:type="dxa"/>
            <w:vAlign w:val="bottom"/>
            <w:tcBorders>
              <w:bottom w:val="single" w:sz="8" w:color="auto"/>
              <w:right w:val="single" w:sz="8" w:color="auto"/>
            </w:tcBorders>
          </w:tcPr>
          <w:p>
            <w:pPr>
              <w:spacing w:after="0"/>
              <w:rPr>
                <w:sz w:val="24"/>
                <w:szCs w:val="24"/>
                <w:color w:val="auto"/>
              </w:rPr>
            </w:pPr>
          </w:p>
        </w:tc>
        <w:tc>
          <w:tcPr>
            <w:tcW w:w="1640" w:type="dxa"/>
            <w:vAlign w:val="bottom"/>
            <w:tcBorders>
              <w:bottom w:val="single" w:sz="8" w:color="auto"/>
              <w:right w:val="single" w:sz="8" w:color="auto"/>
            </w:tcBorders>
          </w:tcPr>
          <w:p>
            <w:pPr>
              <w:spacing w:after="0"/>
              <w:rPr>
                <w:sz w:val="24"/>
                <w:szCs w:val="24"/>
                <w:color w:val="auto"/>
              </w:rPr>
            </w:pPr>
          </w:p>
        </w:tc>
        <w:tc>
          <w:tcPr>
            <w:tcW w:w="154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ectPr>
          <w:pgSz w:w="11900" w:h="16840" w:orient="portrait"/>
          <w:cols w:equalWidth="0" w:num="1">
            <w:col w:w="9740"/>
          </w:cols>
          <w:pgMar w:left="1440" w:top="1112" w:right="724" w:bottom="163" w:gutter="0" w:footer="0" w:header="0"/>
        </w:sectPr>
      </w:pPr>
    </w:p>
    <w:p>
      <w:pPr>
        <w:spacing w:after="0" w:line="200" w:lineRule="exact"/>
        <w:rPr>
          <w:sz w:val="20"/>
          <w:szCs w:val="20"/>
          <w:color w:val="auto"/>
        </w:rPr>
      </w:pPr>
    </w:p>
    <w:p>
      <w:pPr>
        <w:spacing w:after="0" w:line="231" w:lineRule="exact"/>
        <w:rPr>
          <w:sz w:val="20"/>
          <w:szCs w:val="20"/>
          <w:color w:val="auto"/>
        </w:rPr>
      </w:pPr>
    </w:p>
    <w:p>
      <w:pPr>
        <w:ind w:left="9380"/>
        <w:spacing w:after="0"/>
        <w:rPr>
          <w:sz w:val="20"/>
          <w:szCs w:val="20"/>
          <w:color w:val="auto"/>
        </w:rPr>
      </w:pPr>
      <w:r>
        <w:rPr>
          <w:rFonts w:ascii="Times New Roman" w:cs="Times New Roman" w:eastAsia="Times New Roman" w:hAnsi="Times New Roman"/>
          <w:sz w:val="24"/>
          <w:szCs w:val="24"/>
          <w:color w:val="auto"/>
        </w:rPr>
        <w:t>37</w:t>
      </w:r>
    </w:p>
    <w:p>
      <w:pPr>
        <w:sectPr>
          <w:pgSz w:w="11900" w:h="16840" w:orient="portrait"/>
          <w:cols w:equalWidth="0" w:num="1">
            <w:col w:w="9740"/>
          </w:cols>
          <w:pgMar w:left="1440" w:top="1112" w:right="724" w:bottom="163" w:gutter="0" w:footer="0" w:header="0"/>
          <w:type w:val="continuous"/>
        </w:sectPr>
      </w:pPr>
    </w:p>
    <w:p>
      <w:pPr>
        <w:ind w:left="1780"/>
        <w:spacing w:after="0"/>
        <w:rPr>
          <w:sz w:val="20"/>
          <w:szCs w:val="20"/>
          <w:color w:val="auto"/>
        </w:rPr>
      </w:pPr>
      <w:r>
        <w:rPr>
          <w:rFonts w:ascii="Times New Roman" w:cs="Times New Roman" w:eastAsia="Times New Roman" w:hAnsi="Times New Roman"/>
          <w:sz w:val="28"/>
          <w:szCs w:val="28"/>
          <w:color w:val="auto"/>
        </w:rPr>
        <w:t>ЗАДАЧИ ДЛЯ САМОСТОЯТЕЛЬНОГО РЕШЕНИЯ</w:t>
      </w:r>
    </w:p>
    <w:p>
      <w:pPr>
        <w:spacing w:after="0" w:line="322" w:lineRule="exact"/>
        <w:rPr>
          <w:sz w:val="20"/>
          <w:szCs w:val="20"/>
          <w:color w:val="auto"/>
        </w:rPr>
      </w:pPr>
    </w:p>
    <w:p>
      <w:pPr>
        <w:jc w:val="both"/>
        <w:ind w:left="260" w:firstLine="722"/>
        <w:spacing w:after="0"/>
        <w:tabs>
          <w:tab w:leader="none" w:pos="1352" w:val="left"/>
        </w:tabs>
        <w:numPr>
          <w:ilvl w:val="1"/>
          <w:numId w:val="8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Определить стоимость грузового автомобиля грузоподъемностью 10 т, который эксплуатируется на междугородных перевозках с прицепом грузоподъемностью 10 т. Реальная ставка дисконта для данного бизнеса 30%.</w:t>
      </w:r>
    </w:p>
    <w:p>
      <w:pPr>
        <w:ind w:left="260" w:firstLine="2"/>
        <w:spacing w:after="0" w:line="270" w:lineRule="auto"/>
        <w:tabs>
          <w:tab w:leader="none" w:pos="556" w:val="left"/>
        </w:tabs>
        <w:numPr>
          <w:ilvl w:val="0"/>
          <w:numId w:val="8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таблице приведены показатели эксплуатации оцениваемого автомобиля с прицепом.</w:t>
      </w:r>
    </w:p>
    <w:p>
      <w:pPr>
        <w:spacing w:after="0" w:line="236" w:lineRule="exact"/>
        <w:rPr>
          <w:sz w:val="20"/>
          <w:szCs w:val="20"/>
          <w:color w:val="auto"/>
        </w:rPr>
      </w:pPr>
    </w:p>
    <w:tbl>
      <w:tblPr>
        <w:tblLayout w:type="fixed"/>
        <w:tblInd w:w="270" w:type="dxa"/>
        <w:tblCellMar>
          <w:top w:w="0" w:type="dxa"/>
          <w:left w:w="0" w:type="dxa"/>
          <w:bottom w:w="0" w:type="dxa"/>
          <w:right w:w="0" w:type="dxa"/>
        </w:tblCellMar>
      </w:tblPr>
      <w:tr>
        <w:trPr>
          <w:trHeight w:val="343"/>
        </w:trPr>
        <w:tc>
          <w:tcPr>
            <w:tcW w:w="7940" w:type="dxa"/>
            <w:vAlign w:val="bottom"/>
            <w:tcBorders>
              <w:top w:val="single" w:sz="8" w:color="auto"/>
              <w:left w:val="single" w:sz="8" w:color="auto"/>
              <w:bottom w:val="single" w:sz="8" w:color="auto"/>
              <w:right w:val="single" w:sz="8" w:color="auto"/>
            </w:tcBorders>
          </w:tcPr>
          <w:p>
            <w:pPr>
              <w:ind w:left="3280"/>
              <w:spacing w:after="0"/>
              <w:rPr>
                <w:sz w:val="20"/>
                <w:szCs w:val="20"/>
                <w:color w:val="auto"/>
              </w:rPr>
            </w:pPr>
            <w:r>
              <w:rPr>
                <w:rFonts w:ascii="Times New Roman" w:cs="Times New Roman" w:eastAsia="Times New Roman" w:hAnsi="Times New Roman"/>
                <w:sz w:val="28"/>
                <w:szCs w:val="28"/>
                <w:color w:val="auto"/>
              </w:rPr>
              <w:t>Показатель</w:t>
            </w:r>
          </w:p>
        </w:tc>
        <w:tc>
          <w:tcPr>
            <w:tcW w:w="1440" w:type="dxa"/>
            <w:vAlign w:val="bottom"/>
            <w:tcBorders>
              <w:top w:val="single" w:sz="8" w:color="auto"/>
              <w:bottom w:val="single" w:sz="8" w:color="auto"/>
              <w:right w:val="single" w:sz="8" w:color="auto"/>
            </w:tcBorders>
          </w:tcPr>
          <w:p>
            <w:pPr>
              <w:ind w:left="20"/>
              <w:spacing w:after="0"/>
              <w:rPr>
                <w:sz w:val="20"/>
                <w:szCs w:val="20"/>
                <w:color w:val="auto"/>
              </w:rPr>
            </w:pPr>
            <w:r>
              <w:rPr>
                <w:rFonts w:ascii="Times New Roman" w:cs="Times New Roman" w:eastAsia="Times New Roman" w:hAnsi="Times New Roman"/>
                <w:sz w:val="28"/>
                <w:szCs w:val="28"/>
                <w:color w:val="auto"/>
              </w:rPr>
              <w:t>Значение</w:t>
            </w:r>
          </w:p>
        </w:tc>
      </w:tr>
      <w:tr>
        <w:trPr>
          <w:trHeight w:val="317"/>
        </w:trPr>
        <w:tc>
          <w:tcPr>
            <w:tcW w:w="7940" w:type="dxa"/>
            <w:vAlign w:val="bottom"/>
            <w:tcBorders>
              <w:left w:val="single" w:sz="8" w:color="auto"/>
              <w:bottom w:val="single" w:sz="8" w:color="auto"/>
              <w:right w:val="single" w:sz="8" w:color="auto"/>
            </w:tcBorders>
          </w:tcPr>
          <w:p>
            <w:pPr>
              <w:ind w:left="40"/>
              <w:spacing w:after="0" w:line="317" w:lineRule="exact"/>
              <w:rPr>
                <w:sz w:val="20"/>
                <w:szCs w:val="20"/>
                <w:color w:val="auto"/>
              </w:rPr>
            </w:pPr>
            <w:r>
              <w:rPr>
                <w:rFonts w:ascii="Times New Roman" w:cs="Times New Roman" w:eastAsia="Times New Roman" w:hAnsi="Times New Roman"/>
                <w:sz w:val="28"/>
                <w:szCs w:val="28"/>
                <w:color w:val="auto"/>
              </w:rPr>
              <w:t>Средний годовой пробег, тыс. км</w:t>
            </w:r>
          </w:p>
        </w:tc>
        <w:tc>
          <w:tcPr>
            <w:tcW w:w="1440" w:type="dxa"/>
            <w:vAlign w:val="bottom"/>
            <w:tcBorders>
              <w:bottom w:val="single" w:sz="8" w:color="auto"/>
              <w:right w:val="single" w:sz="8" w:color="auto"/>
            </w:tcBorders>
          </w:tcPr>
          <w:p>
            <w:pPr>
              <w:jc w:val="center"/>
              <w:spacing w:after="0" w:line="317" w:lineRule="exact"/>
              <w:rPr>
                <w:sz w:val="20"/>
                <w:szCs w:val="20"/>
                <w:color w:val="auto"/>
              </w:rPr>
            </w:pPr>
            <w:r>
              <w:rPr>
                <w:rFonts w:ascii="Times New Roman" w:cs="Times New Roman" w:eastAsia="Times New Roman" w:hAnsi="Times New Roman"/>
                <w:sz w:val="28"/>
                <w:szCs w:val="28"/>
                <w:color w:val="auto"/>
                <w:w w:val="99"/>
              </w:rPr>
              <w:t>150</w:t>
            </w:r>
          </w:p>
        </w:tc>
      </w:tr>
      <w:tr>
        <w:trPr>
          <w:trHeight w:val="317"/>
        </w:trPr>
        <w:tc>
          <w:tcPr>
            <w:tcW w:w="7940" w:type="dxa"/>
            <w:vAlign w:val="bottom"/>
            <w:tcBorders>
              <w:left w:val="single" w:sz="8" w:color="auto"/>
              <w:bottom w:val="single" w:sz="8" w:color="auto"/>
              <w:right w:val="single" w:sz="8" w:color="auto"/>
            </w:tcBorders>
          </w:tcPr>
          <w:p>
            <w:pPr>
              <w:ind w:left="40"/>
              <w:spacing w:after="0" w:line="317" w:lineRule="exact"/>
              <w:rPr>
                <w:sz w:val="20"/>
                <w:szCs w:val="20"/>
                <w:color w:val="auto"/>
              </w:rPr>
            </w:pPr>
            <w:r>
              <w:rPr>
                <w:rFonts w:ascii="Times New Roman" w:cs="Times New Roman" w:eastAsia="Times New Roman" w:hAnsi="Times New Roman"/>
                <w:sz w:val="28"/>
                <w:szCs w:val="28"/>
                <w:color w:val="auto"/>
              </w:rPr>
              <w:t>Средний годовой объем транспортной работы, тыс. ткм</w:t>
            </w:r>
          </w:p>
        </w:tc>
        <w:tc>
          <w:tcPr>
            <w:tcW w:w="1440" w:type="dxa"/>
            <w:vAlign w:val="bottom"/>
            <w:tcBorders>
              <w:bottom w:val="single" w:sz="8" w:color="auto"/>
              <w:right w:val="single" w:sz="8" w:color="auto"/>
            </w:tcBorders>
          </w:tcPr>
          <w:p>
            <w:pPr>
              <w:jc w:val="center"/>
              <w:spacing w:after="0" w:line="317" w:lineRule="exact"/>
              <w:rPr>
                <w:sz w:val="20"/>
                <w:szCs w:val="20"/>
                <w:color w:val="auto"/>
              </w:rPr>
            </w:pPr>
            <w:r>
              <w:rPr>
                <w:rFonts w:ascii="Times New Roman" w:cs="Times New Roman" w:eastAsia="Times New Roman" w:hAnsi="Times New Roman"/>
                <w:sz w:val="28"/>
                <w:szCs w:val="28"/>
                <w:color w:val="auto"/>
                <w:w w:val="99"/>
              </w:rPr>
              <w:t>2380</w:t>
            </w:r>
          </w:p>
        </w:tc>
      </w:tr>
      <w:tr>
        <w:trPr>
          <w:trHeight w:val="296"/>
        </w:trPr>
        <w:tc>
          <w:tcPr>
            <w:tcW w:w="7940" w:type="dxa"/>
            <w:vAlign w:val="bottom"/>
            <w:tcBorders>
              <w:left w:val="single" w:sz="8" w:color="auto"/>
              <w:right w:val="single" w:sz="8" w:color="auto"/>
            </w:tcBorders>
          </w:tcPr>
          <w:p>
            <w:pPr>
              <w:ind w:left="40"/>
              <w:spacing w:after="0" w:line="296" w:lineRule="exact"/>
              <w:rPr>
                <w:sz w:val="20"/>
                <w:szCs w:val="20"/>
                <w:color w:val="auto"/>
              </w:rPr>
            </w:pPr>
            <w:r>
              <w:rPr>
                <w:rFonts w:ascii="Times New Roman" w:cs="Times New Roman" w:eastAsia="Times New Roman" w:hAnsi="Times New Roman"/>
                <w:sz w:val="28"/>
                <w:szCs w:val="28"/>
                <w:color w:val="auto"/>
              </w:rPr>
              <w:t>Тариф на перевозку (без НДС) при среднем расстоянии одной</w:t>
            </w:r>
          </w:p>
        </w:tc>
        <w:tc>
          <w:tcPr>
            <w:tcW w:w="1440" w:type="dxa"/>
            <w:vAlign w:val="bottom"/>
            <w:tcBorders>
              <w:right w:val="single" w:sz="8" w:color="auto"/>
            </w:tcBorders>
          </w:tcPr>
          <w:p>
            <w:pPr>
              <w:jc w:val="center"/>
              <w:spacing w:after="0" w:line="296" w:lineRule="exact"/>
              <w:rPr>
                <w:sz w:val="20"/>
                <w:szCs w:val="20"/>
                <w:color w:val="auto"/>
              </w:rPr>
            </w:pPr>
            <w:r>
              <w:rPr>
                <w:rFonts w:ascii="Times New Roman" w:cs="Times New Roman" w:eastAsia="Times New Roman" w:hAnsi="Times New Roman"/>
                <w:sz w:val="28"/>
                <w:szCs w:val="28"/>
                <w:color w:val="auto"/>
                <w:w w:val="97"/>
              </w:rPr>
              <w:t>3,12</w:t>
            </w:r>
          </w:p>
        </w:tc>
      </w:tr>
      <w:tr>
        <w:trPr>
          <w:trHeight w:val="343"/>
        </w:trPr>
        <w:tc>
          <w:tcPr>
            <w:tcW w:w="7940" w:type="dxa"/>
            <w:vAlign w:val="bottom"/>
            <w:tcBorders>
              <w:left w:val="single" w:sz="8" w:color="auto"/>
              <w:bottom w:val="single" w:sz="8" w:color="auto"/>
              <w:right w:val="single" w:sz="8" w:color="auto"/>
            </w:tcBorders>
          </w:tcPr>
          <w:p>
            <w:pPr>
              <w:ind w:left="40"/>
              <w:spacing w:after="0"/>
              <w:rPr>
                <w:sz w:val="20"/>
                <w:szCs w:val="20"/>
                <w:color w:val="auto"/>
              </w:rPr>
            </w:pPr>
            <w:r>
              <w:rPr>
                <w:rFonts w:ascii="Times New Roman" w:cs="Times New Roman" w:eastAsia="Times New Roman" w:hAnsi="Times New Roman"/>
                <w:sz w:val="28"/>
                <w:szCs w:val="28"/>
                <w:color w:val="auto"/>
              </w:rPr>
              <w:t>перевозки 300 км, руб./ткм</w:t>
            </w:r>
          </w:p>
        </w:tc>
        <w:tc>
          <w:tcPr>
            <w:tcW w:w="1440" w:type="dxa"/>
            <w:vAlign w:val="bottom"/>
            <w:tcBorders>
              <w:bottom w:val="single" w:sz="8" w:color="auto"/>
              <w:right w:val="single" w:sz="8" w:color="auto"/>
            </w:tcBorders>
          </w:tcPr>
          <w:p>
            <w:pPr>
              <w:spacing w:after="0"/>
              <w:rPr>
                <w:sz w:val="24"/>
                <w:szCs w:val="24"/>
                <w:color w:val="auto"/>
              </w:rPr>
            </w:pPr>
          </w:p>
        </w:tc>
      </w:tr>
      <w:tr>
        <w:trPr>
          <w:trHeight w:val="296"/>
        </w:trPr>
        <w:tc>
          <w:tcPr>
            <w:tcW w:w="7940" w:type="dxa"/>
            <w:vAlign w:val="bottom"/>
            <w:tcBorders>
              <w:left w:val="single" w:sz="8" w:color="auto"/>
              <w:right w:val="single" w:sz="8" w:color="auto"/>
            </w:tcBorders>
          </w:tcPr>
          <w:p>
            <w:pPr>
              <w:ind w:left="40"/>
              <w:spacing w:after="0" w:line="296" w:lineRule="exact"/>
              <w:rPr>
                <w:sz w:val="20"/>
                <w:szCs w:val="20"/>
                <w:color w:val="auto"/>
              </w:rPr>
            </w:pPr>
            <w:r>
              <w:rPr>
                <w:rFonts w:ascii="Times New Roman" w:cs="Times New Roman" w:eastAsia="Times New Roman" w:hAnsi="Times New Roman"/>
                <w:sz w:val="28"/>
                <w:szCs w:val="28"/>
                <w:color w:val="auto"/>
              </w:rPr>
              <w:t>Себестоимость транспортной</w:t>
            </w:r>
          </w:p>
        </w:tc>
        <w:tc>
          <w:tcPr>
            <w:tcW w:w="1440" w:type="dxa"/>
            <w:vAlign w:val="bottom"/>
            <w:tcBorders>
              <w:right w:val="single" w:sz="8" w:color="auto"/>
            </w:tcBorders>
          </w:tcPr>
          <w:p>
            <w:pPr>
              <w:jc w:val="center"/>
              <w:spacing w:after="0" w:line="296" w:lineRule="exact"/>
              <w:rPr>
                <w:sz w:val="20"/>
                <w:szCs w:val="20"/>
                <w:color w:val="auto"/>
              </w:rPr>
            </w:pPr>
            <w:r>
              <w:rPr>
                <w:rFonts w:ascii="Times New Roman" w:cs="Times New Roman" w:eastAsia="Times New Roman" w:hAnsi="Times New Roman"/>
                <w:sz w:val="28"/>
                <w:szCs w:val="28"/>
                <w:color w:val="auto"/>
              </w:rPr>
              <w:t>3,115</w:t>
            </w:r>
          </w:p>
        </w:tc>
      </w:tr>
      <w:tr>
        <w:trPr>
          <w:trHeight w:val="322"/>
        </w:trPr>
        <w:tc>
          <w:tcPr>
            <w:tcW w:w="7940" w:type="dxa"/>
            <w:vAlign w:val="bottom"/>
            <w:tcBorders>
              <w:left w:val="single" w:sz="8" w:color="auto"/>
              <w:right w:val="single" w:sz="8" w:color="auto"/>
            </w:tcBorders>
          </w:tcPr>
          <w:p>
            <w:pPr>
              <w:ind w:left="40"/>
              <w:spacing w:after="0"/>
              <w:rPr>
                <w:sz w:val="20"/>
                <w:szCs w:val="20"/>
                <w:color w:val="auto"/>
              </w:rPr>
            </w:pPr>
            <w:r>
              <w:rPr>
                <w:rFonts w:ascii="Times New Roman" w:cs="Times New Roman" w:eastAsia="Times New Roman" w:hAnsi="Times New Roman"/>
                <w:sz w:val="28"/>
                <w:szCs w:val="28"/>
                <w:color w:val="auto"/>
              </w:rPr>
              <w:t>работы (без амортизации),</w:t>
            </w:r>
          </w:p>
        </w:tc>
        <w:tc>
          <w:tcPr>
            <w:tcW w:w="1440" w:type="dxa"/>
            <w:vAlign w:val="bottom"/>
            <w:tcBorders>
              <w:right w:val="single" w:sz="8" w:color="auto"/>
            </w:tcBorders>
          </w:tcPr>
          <w:p>
            <w:pPr>
              <w:spacing w:after="0"/>
              <w:rPr>
                <w:sz w:val="24"/>
                <w:szCs w:val="24"/>
                <w:color w:val="auto"/>
              </w:rPr>
            </w:pPr>
          </w:p>
        </w:tc>
      </w:tr>
      <w:tr>
        <w:trPr>
          <w:trHeight w:val="343"/>
        </w:trPr>
        <w:tc>
          <w:tcPr>
            <w:tcW w:w="7940" w:type="dxa"/>
            <w:vAlign w:val="bottom"/>
            <w:tcBorders>
              <w:left w:val="single" w:sz="8" w:color="auto"/>
              <w:bottom w:val="single" w:sz="8" w:color="auto"/>
              <w:right w:val="single" w:sz="8" w:color="auto"/>
            </w:tcBorders>
          </w:tcPr>
          <w:p>
            <w:pPr>
              <w:ind w:left="40"/>
              <w:spacing w:after="0"/>
              <w:rPr>
                <w:sz w:val="20"/>
                <w:szCs w:val="20"/>
                <w:color w:val="auto"/>
              </w:rPr>
            </w:pPr>
            <w:r>
              <w:rPr>
                <w:rFonts w:ascii="Times New Roman" w:cs="Times New Roman" w:eastAsia="Times New Roman" w:hAnsi="Times New Roman"/>
                <w:sz w:val="28"/>
                <w:szCs w:val="28"/>
                <w:color w:val="auto"/>
              </w:rPr>
              <w:t>руб./ткм</w:t>
            </w:r>
          </w:p>
        </w:tc>
        <w:tc>
          <w:tcPr>
            <w:tcW w:w="1440" w:type="dxa"/>
            <w:vAlign w:val="bottom"/>
            <w:tcBorders>
              <w:bottom w:val="single" w:sz="8" w:color="auto"/>
              <w:right w:val="single" w:sz="8" w:color="auto"/>
            </w:tcBorders>
          </w:tcPr>
          <w:p>
            <w:pPr>
              <w:spacing w:after="0"/>
              <w:rPr>
                <w:sz w:val="24"/>
                <w:szCs w:val="24"/>
                <w:color w:val="auto"/>
              </w:rPr>
            </w:pPr>
          </w:p>
        </w:tc>
      </w:tr>
      <w:tr>
        <w:trPr>
          <w:trHeight w:val="317"/>
        </w:trPr>
        <w:tc>
          <w:tcPr>
            <w:tcW w:w="7940" w:type="dxa"/>
            <w:vAlign w:val="bottom"/>
            <w:tcBorders>
              <w:left w:val="single" w:sz="8" w:color="auto"/>
              <w:bottom w:val="single" w:sz="8" w:color="auto"/>
              <w:right w:val="single" w:sz="8" w:color="auto"/>
            </w:tcBorders>
          </w:tcPr>
          <w:p>
            <w:pPr>
              <w:ind w:left="40"/>
              <w:spacing w:after="0" w:line="317" w:lineRule="exact"/>
              <w:rPr>
                <w:sz w:val="20"/>
                <w:szCs w:val="20"/>
                <w:color w:val="auto"/>
              </w:rPr>
            </w:pPr>
            <w:r>
              <w:rPr>
                <w:rFonts w:ascii="Times New Roman" w:cs="Times New Roman" w:eastAsia="Times New Roman" w:hAnsi="Times New Roman"/>
                <w:sz w:val="28"/>
                <w:szCs w:val="28"/>
                <w:color w:val="auto"/>
              </w:rPr>
              <w:t>Срок службы автомобиля и прицепа, годы</w:t>
            </w:r>
          </w:p>
        </w:tc>
        <w:tc>
          <w:tcPr>
            <w:tcW w:w="1440" w:type="dxa"/>
            <w:vAlign w:val="bottom"/>
            <w:tcBorders>
              <w:bottom w:val="single" w:sz="8" w:color="auto"/>
              <w:right w:val="single" w:sz="8" w:color="auto"/>
            </w:tcBorders>
          </w:tcPr>
          <w:p>
            <w:pPr>
              <w:jc w:val="center"/>
              <w:spacing w:after="0" w:line="317" w:lineRule="exact"/>
              <w:rPr>
                <w:sz w:val="20"/>
                <w:szCs w:val="20"/>
                <w:color w:val="auto"/>
              </w:rPr>
            </w:pPr>
            <w:r>
              <w:rPr>
                <w:rFonts w:ascii="Times New Roman" w:cs="Times New Roman" w:eastAsia="Times New Roman" w:hAnsi="Times New Roman"/>
                <w:sz w:val="28"/>
                <w:szCs w:val="28"/>
                <w:color w:val="auto"/>
                <w:w w:val="99"/>
              </w:rPr>
              <w:t>6</w:t>
            </w:r>
          </w:p>
        </w:tc>
      </w:tr>
      <w:tr>
        <w:trPr>
          <w:trHeight w:val="296"/>
        </w:trPr>
        <w:tc>
          <w:tcPr>
            <w:tcW w:w="7940" w:type="dxa"/>
            <w:vAlign w:val="bottom"/>
            <w:tcBorders>
              <w:left w:val="single" w:sz="8" w:color="auto"/>
              <w:right w:val="single" w:sz="8" w:color="auto"/>
            </w:tcBorders>
          </w:tcPr>
          <w:p>
            <w:pPr>
              <w:ind w:left="40"/>
              <w:spacing w:after="0" w:line="296" w:lineRule="exact"/>
              <w:rPr>
                <w:sz w:val="20"/>
                <w:szCs w:val="20"/>
                <w:color w:val="auto"/>
              </w:rPr>
            </w:pPr>
            <w:r>
              <w:rPr>
                <w:rFonts w:ascii="Times New Roman" w:cs="Times New Roman" w:eastAsia="Times New Roman" w:hAnsi="Times New Roman"/>
                <w:sz w:val="28"/>
                <w:szCs w:val="28"/>
                <w:color w:val="auto"/>
              </w:rPr>
              <w:t>Стоимость здания (гаражи и ремонтное хозяйство) на один</w:t>
            </w:r>
          </w:p>
        </w:tc>
        <w:tc>
          <w:tcPr>
            <w:tcW w:w="1440" w:type="dxa"/>
            <w:vAlign w:val="bottom"/>
            <w:tcBorders>
              <w:right w:val="single" w:sz="8" w:color="auto"/>
            </w:tcBorders>
          </w:tcPr>
          <w:p>
            <w:pPr>
              <w:jc w:val="center"/>
              <w:spacing w:after="0" w:line="296" w:lineRule="exact"/>
              <w:rPr>
                <w:sz w:val="20"/>
                <w:szCs w:val="20"/>
                <w:color w:val="auto"/>
              </w:rPr>
            </w:pPr>
            <w:r>
              <w:rPr>
                <w:rFonts w:ascii="Times New Roman" w:cs="Times New Roman" w:eastAsia="Times New Roman" w:hAnsi="Times New Roman"/>
                <w:sz w:val="28"/>
                <w:szCs w:val="28"/>
                <w:color w:val="auto"/>
                <w:w w:val="99"/>
              </w:rPr>
              <w:t>20000</w:t>
            </w:r>
          </w:p>
        </w:tc>
      </w:tr>
      <w:tr>
        <w:trPr>
          <w:trHeight w:val="343"/>
        </w:trPr>
        <w:tc>
          <w:tcPr>
            <w:tcW w:w="7940" w:type="dxa"/>
            <w:vAlign w:val="bottom"/>
            <w:tcBorders>
              <w:left w:val="single" w:sz="8" w:color="auto"/>
              <w:bottom w:val="single" w:sz="8" w:color="auto"/>
              <w:right w:val="single" w:sz="8" w:color="auto"/>
            </w:tcBorders>
          </w:tcPr>
          <w:p>
            <w:pPr>
              <w:ind w:left="40"/>
              <w:spacing w:after="0"/>
              <w:rPr>
                <w:sz w:val="20"/>
                <w:szCs w:val="20"/>
                <w:color w:val="auto"/>
              </w:rPr>
            </w:pPr>
            <w:r>
              <w:rPr>
                <w:rFonts w:ascii="Times New Roman" w:cs="Times New Roman" w:eastAsia="Times New Roman" w:hAnsi="Times New Roman"/>
                <w:sz w:val="28"/>
                <w:szCs w:val="28"/>
                <w:color w:val="auto"/>
              </w:rPr>
              <w:t>автомобиль с прицепом, руб.</w:t>
            </w:r>
          </w:p>
        </w:tc>
        <w:tc>
          <w:tcPr>
            <w:tcW w:w="1440" w:type="dxa"/>
            <w:vAlign w:val="bottom"/>
            <w:tcBorders>
              <w:bottom w:val="single" w:sz="8" w:color="auto"/>
              <w:right w:val="single" w:sz="8" w:color="auto"/>
            </w:tcBorders>
          </w:tcPr>
          <w:p>
            <w:pPr>
              <w:spacing w:after="0"/>
              <w:rPr>
                <w:sz w:val="24"/>
                <w:szCs w:val="24"/>
                <w:color w:val="auto"/>
              </w:rPr>
            </w:pPr>
          </w:p>
        </w:tc>
      </w:tr>
      <w:tr>
        <w:trPr>
          <w:trHeight w:val="317"/>
        </w:trPr>
        <w:tc>
          <w:tcPr>
            <w:tcW w:w="7940" w:type="dxa"/>
            <w:vAlign w:val="bottom"/>
            <w:tcBorders>
              <w:left w:val="single" w:sz="8" w:color="auto"/>
              <w:bottom w:val="single" w:sz="8" w:color="auto"/>
              <w:right w:val="single" w:sz="8" w:color="auto"/>
            </w:tcBorders>
          </w:tcPr>
          <w:p>
            <w:pPr>
              <w:ind w:left="40"/>
              <w:spacing w:after="0" w:line="317" w:lineRule="exact"/>
              <w:rPr>
                <w:sz w:val="20"/>
                <w:szCs w:val="20"/>
                <w:color w:val="auto"/>
              </w:rPr>
            </w:pPr>
            <w:r>
              <w:rPr>
                <w:rFonts w:ascii="Times New Roman" w:cs="Times New Roman" w:eastAsia="Times New Roman" w:hAnsi="Times New Roman"/>
                <w:sz w:val="28"/>
                <w:szCs w:val="28"/>
                <w:color w:val="auto"/>
              </w:rPr>
              <w:t>Стоимость прицепа, руб.</w:t>
            </w:r>
          </w:p>
        </w:tc>
        <w:tc>
          <w:tcPr>
            <w:tcW w:w="1440" w:type="dxa"/>
            <w:vAlign w:val="bottom"/>
            <w:tcBorders>
              <w:bottom w:val="single" w:sz="8" w:color="auto"/>
              <w:right w:val="single" w:sz="8" w:color="auto"/>
            </w:tcBorders>
          </w:tcPr>
          <w:p>
            <w:pPr>
              <w:jc w:val="center"/>
              <w:spacing w:after="0" w:line="317" w:lineRule="exact"/>
              <w:rPr>
                <w:sz w:val="20"/>
                <w:szCs w:val="20"/>
                <w:color w:val="auto"/>
              </w:rPr>
            </w:pPr>
            <w:r>
              <w:rPr>
                <w:rFonts w:ascii="Times New Roman" w:cs="Times New Roman" w:eastAsia="Times New Roman" w:hAnsi="Times New Roman"/>
                <w:sz w:val="28"/>
                <w:szCs w:val="28"/>
                <w:color w:val="auto"/>
                <w:w w:val="99"/>
              </w:rPr>
              <w:t>7000</w:t>
            </w:r>
          </w:p>
        </w:tc>
      </w:tr>
    </w:tbl>
    <w:p>
      <w:pPr>
        <w:spacing w:after="0" w:line="301" w:lineRule="exact"/>
        <w:rPr>
          <w:sz w:val="20"/>
          <w:szCs w:val="20"/>
          <w:color w:val="auto"/>
        </w:rPr>
      </w:pPr>
    </w:p>
    <w:p>
      <w:pPr>
        <w:jc w:val="both"/>
        <w:ind w:left="260" w:firstLine="722"/>
        <w:spacing w:after="0" w:line="244" w:lineRule="auto"/>
        <w:tabs>
          <w:tab w:leader="none" w:pos="1327" w:val="left"/>
        </w:tabs>
        <w:numPr>
          <w:ilvl w:val="0"/>
          <w:numId w:val="8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Вы хотите обновить для Вашего производства необходимый Вам комплект оборудования. Полная стоимость его воспроизводства - 36 000 руб., стоимость замещения - 30 000 руб. Оценщик определил обоснованную рыночную стоимость Вашего оборудования в использовании 18 000 долл. Анализ сопоставимых продаж показал, что данный комплект оборудования идет за 50 000 руб. Определить обоснованную рыночную стоимость при перемещении интересующего Вас комплекта, если завод-изготовитель может обеспечить новым оборудованием покупателя только через 3 года.</w:t>
      </w:r>
    </w:p>
    <w:p>
      <w:pPr>
        <w:spacing w:after="0" w:line="279" w:lineRule="exact"/>
        <w:rPr>
          <w:rFonts w:ascii="Times New Roman" w:cs="Times New Roman" w:eastAsia="Times New Roman" w:hAnsi="Times New Roman"/>
          <w:sz w:val="28"/>
          <w:szCs w:val="28"/>
          <w:color w:val="auto"/>
        </w:rPr>
      </w:pPr>
    </w:p>
    <w:p>
      <w:pPr>
        <w:jc w:val="both"/>
        <w:ind w:left="260" w:firstLine="722"/>
        <w:spacing w:after="0" w:line="243" w:lineRule="auto"/>
        <w:tabs>
          <w:tab w:leader="none" w:pos="1326" w:val="left"/>
        </w:tabs>
        <w:numPr>
          <w:ilvl w:val="0"/>
          <w:numId w:val="8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Вы оцениваете производственную линию по выпуску стеклянных игрушек производительностью 1000 единиц в день. Ей 4 года, она в прекрасном состоянии и соответствует современным стандартам. Однако за последние 2 года значительно возросла конкуренция со стороны зарубежных производителей. В результате этого владелец завода использует оборудование лишь на 80%. Стоимость воспроизводства данной линии составляет 1 млн. долл. Физический износ приблизительно равен 15%. Чему равна обоснованная рыночная стоимость установленного оборудования (в пользовании), если фактор масштаба определен в размере 0,7?</w:t>
      </w:r>
    </w:p>
    <w:p>
      <w:pPr>
        <w:spacing w:after="0" w:line="285" w:lineRule="exact"/>
        <w:rPr>
          <w:rFonts w:ascii="Times New Roman" w:cs="Times New Roman" w:eastAsia="Times New Roman" w:hAnsi="Times New Roman"/>
          <w:sz w:val="28"/>
          <w:szCs w:val="28"/>
          <w:color w:val="auto"/>
        </w:rPr>
      </w:pPr>
    </w:p>
    <w:p>
      <w:pPr>
        <w:jc w:val="both"/>
        <w:ind w:left="260" w:firstLine="722"/>
        <w:spacing w:after="0" w:line="250" w:lineRule="auto"/>
        <w:tabs>
          <w:tab w:leader="none" w:pos="1324" w:val="left"/>
        </w:tabs>
        <w:numPr>
          <w:ilvl w:val="0"/>
          <w:numId w:val="8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Хронологический возраст оцениваемой машины составляет 7 лет. Нормальный срок ее службы - 10 лет. В результате инспектирования и обсуждения с собственником определено, что остающийся срок службы машины составляет 5 лет. Каков эффективный возраст машины?</w:t>
      </w:r>
    </w:p>
    <w:p>
      <w:pPr>
        <w:sectPr>
          <w:pgSz w:w="11900" w:h="16840" w:orient="portrait"/>
          <w:cols w:equalWidth="0" w:num="1">
            <w:col w:w="9620"/>
          </w:cols>
          <w:pgMar w:left="1440" w:top="1112" w:right="844" w:bottom="163" w:gutter="0" w:footer="0" w:header="0"/>
        </w:sectPr>
      </w:pPr>
    </w:p>
    <w:p>
      <w:pPr>
        <w:spacing w:after="0" w:line="368" w:lineRule="exact"/>
        <w:rPr>
          <w:sz w:val="20"/>
          <w:szCs w:val="20"/>
          <w:color w:val="auto"/>
        </w:rPr>
      </w:pPr>
    </w:p>
    <w:p>
      <w:pPr>
        <w:ind w:left="9380"/>
        <w:spacing w:after="0"/>
        <w:rPr>
          <w:sz w:val="20"/>
          <w:szCs w:val="20"/>
          <w:color w:val="auto"/>
        </w:rPr>
      </w:pPr>
      <w:r>
        <w:rPr>
          <w:rFonts w:ascii="Times New Roman" w:cs="Times New Roman" w:eastAsia="Times New Roman" w:hAnsi="Times New Roman"/>
          <w:sz w:val="24"/>
          <w:szCs w:val="24"/>
          <w:color w:val="auto"/>
        </w:rPr>
        <w:t>38</w:t>
      </w:r>
    </w:p>
    <w:p>
      <w:pPr>
        <w:sectPr>
          <w:pgSz w:w="11900" w:h="16840" w:orient="portrait"/>
          <w:cols w:equalWidth="0" w:num="1">
            <w:col w:w="9620"/>
          </w:cols>
          <w:pgMar w:left="1440" w:top="1112" w:right="844" w:bottom="163" w:gutter="0" w:footer="0" w:header="0"/>
          <w:type w:val="continuous"/>
        </w:sectPr>
      </w:pPr>
    </w:p>
    <w:p>
      <w:pPr>
        <w:jc w:val="both"/>
        <w:ind w:left="260" w:firstLine="722"/>
        <w:spacing w:after="0" w:line="250" w:lineRule="auto"/>
        <w:tabs>
          <w:tab w:leader="none" w:pos="1272" w:val="left"/>
        </w:tabs>
        <w:numPr>
          <w:ilvl w:val="0"/>
          <w:numId w:val="8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Клиент знает, что через 5 лет потребуется замена компрессора. Цена нового компрессора равна 200 000 руб. Сколько должен положить клиент на счет сегодня, чтобы при 8% годовых у него через 5 лет накопилась сумма, необходимая для покупки компрессора?</w:t>
      </w:r>
    </w:p>
    <w:p>
      <w:pPr>
        <w:spacing w:after="0" w:line="268" w:lineRule="exact"/>
        <w:rPr>
          <w:rFonts w:ascii="Times New Roman" w:cs="Times New Roman" w:eastAsia="Times New Roman" w:hAnsi="Times New Roman"/>
          <w:sz w:val="28"/>
          <w:szCs w:val="28"/>
          <w:color w:val="auto"/>
        </w:rPr>
      </w:pPr>
    </w:p>
    <w:p>
      <w:pPr>
        <w:jc w:val="both"/>
        <w:ind w:left="260" w:firstLine="722"/>
        <w:spacing w:after="0" w:line="246" w:lineRule="auto"/>
        <w:tabs>
          <w:tab w:leader="none" w:pos="1279" w:val="left"/>
        </w:tabs>
        <w:numPr>
          <w:ilvl w:val="0"/>
          <w:numId w:val="8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Предположим, что машину можно немедленно приобрести у фирмы производителя. Полная стоимость замещения на сегодня составляет 12 000 руб. Возраст оцениваемой машины - 2 года. Осмотр позволил определить величину физического износа в 20%. Нормальный срок службы - 20 лет. Какова текущая обоснованная рыночная стоимость неустановленной машины?</w:t>
      </w:r>
    </w:p>
    <w:p>
      <w:pPr>
        <w:spacing w:after="0" w:line="273" w:lineRule="exact"/>
        <w:rPr>
          <w:rFonts w:ascii="Times New Roman" w:cs="Times New Roman" w:eastAsia="Times New Roman" w:hAnsi="Times New Roman"/>
          <w:sz w:val="28"/>
          <w:szCs w:val="28"/>
          <w:color w:val="auto"/>
        </w:rPr>
      </w:pPr>
    </w:p>
    <w:p>
      <w:pPr>
        <w:jc w:val="both"/>
        <w:ind w:left="260" w:firstLine="722"/>
        <w:spacing w:after="0" w:line="250" w:lineRule="auto"/>
        <w:tabs>
          <w:tab w:leader="none" w:pos="1316" w:val="left"/>
        </w:tabs>
        <w:numPr>
          <w:ilvl w:val="0"/>
          <w:numId w:val="8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Предприятие приобретает оборудование по лизингу стоимостью 2 млн. руб. Срок лизинга - 10 лет. Годовая процентная ставка (с учетом комиссионных) - 20%. Выплата платежей по лизингу производится равными суммами 2 раза в год. Рассчитать сумму платежа по лизингу.</w:t>
      </w:r>
    </w:p>
    <w:p>
      <w:pPr>
        <w:spacing w:after="0" w:line="267" w:lineRule="exact"/>
        <w:rPr>
          <w:rFonts w:ascii="Times New Roman" w:cs="Times New Roman" w:eastAsia="Times New Roman" w:hAnsi="Times New Roman"/>
          <w:sz w:val="28"/>
          <w:szCs w:val="28"/>
          <w:color w:val="auto"/>
        </w:rPr>
      </w:pPr>
    </w:p>
    <w:p>
      <w:pPr>
        <w:jc w:val="both"/>
        <w:ind w:left="260" w:firstLine="722"/>
        <w:spacing w:after="0" w:line="250" w:lineRule="auto"/>
        <w:tabs>
          <w:tab w:leader="none" w:pos="1261" w:val="left"/>
        </w:tabs>
        <w:numPr>
          <w:ilvl w:val="0"/>
          <w:numId w:val="8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Оборудование было приобретено в 1997 г. за 28 тыс. руб. (курс рубля по отношению к доллару на дату приобретения 5750:1</w:t>
      </w:r>
      <w:r>
        <w:rPr>
          <w:rFonts w:ascii="Times New Roman" w:cs="Times New Roman" w:eastAsia="Times New Roman" w:hAnsi="Times New Roman"/>
          <w:sz w:val="28"/>
          <w:szCs w:val="28"/>
          <w:color w:val="007E00"/>
        </w:rPr>
        <w:t>).</w:t>
      </w:r>
      <w:r>
        <w:rPr>
          <w:rFonts w:ascii="Times New Roman" w:cs="Times New Roman" w:eastAsia="Times New Roman" w:hAnsi="Times New Roman"/>
          <w:sz w:val="28"/>
          <w:szCs w:val="28"/>
          <w:color w:val="auto"/>
        </w:rPr>
        <w:t xml:space="preserve"> На дату оценки курс рубля к доллару составил 28:1. Рассчитать скорректированную стоимость оборудования на дату оценки.</w:t>
      </w:r>
    </w:p>
    <w:p>
      <w:pPr>
        <w:spacing w:after="0" w:line="268" w:lineRule="exact"/>
        <w:rPr>
          <w:rFonts w:ascii="Times New Roman" w:cs="Times New Roman" w:eastAsia="Times New Roman" w:hAnsi="Times New Roman"/>
          <w:sz w:val="28"/>
          <w:szCs w:val="28"/>
          <w:color w:val="auto"/>
        </w:rPr>
      </w:pPr>
    </w:p>
    <w:p>
      <w:pPr>
        <w:jc w:val="both"/>
        <w:ind w:left="260" w:firstLine="721"/>
        <w:spacing w:after="0" w:line="239" w:lineRule="auto"/>
        <w:tabs>
          <w:tab w:leader="none" w:pos="1290" w:val="left"/>
        </w:tabs>
        <w:numPr>
          <w:ilvl w:val="0"/>
          <w:numId w:val="8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Определить восстановительную стоимость специального шкафа для хранения деталей в обеспыленной среде. Шкаф изготовлен по индивидуальному заказу и на рынке оборудования аналогов не имеет. Спрос на данный шкаф (поскольку он имеет узкое назначение) отсутствует. Габаритные размеры шкафа 600 х 600 х 180 мм.</w:t>
      </w:r>
    </w:p>
    <w:p>
      <w:pPr>
        <w:spacing w:after="0" w:line="6" w:lineRule="exact"/>
        <w:rPr>
          <w:rFonts w:ascii="Times New Roman" w:cs="Times New Roman" w:eastAsia="Times New Roman" w:hAnsi="Times New Roman"/>
          <w:sz w:val="28"/>
          <w:szCs w:val="28"/>
          <w:color w:val="auto"/>
        </w:rPr>
      </w:pPr>
    </w:p>
    <w:p>
      <w:pPr>
        <w:jc w:val="both"/>
        <w:ind w:left="260" w:firstLine="720"/>
        <w:spacing w:after="0" w:line="250"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качестве однородного объекта выбран медицинский шкаф, размеры которого 500 х 400 х 2000 мм. Цена медицинского шкафа 5 тыс. руб. Коэффициент рентабельности для данной пользующейся спросом продукции 0,25. Ставка НДС 18%, ставка налога на прибыль 24%.</w:t>
      </w:r>
    </w:p>
    <w:p>
      <w:pPr>
        <w:spacing w:after="0" w:line="269" w:lineRule="exact"/>
        <w:rPr>
          <w:sz w:val="20"/>
          <w:szCs w:val="20"/>
          <w:color w:val="auto"/>
        </w:rPr>
      </w:pPr>
    </w:p>
    <w:p>
      <w:pPr>
        <w:jc w:val="center"/>
        <w:ind w:right="-259"/>
        <w:spacing w:after="0"/>
        <w:rPr>
          <w:sz w:val="20"/>
          <w:szCs w:val="20"/>
          <w:color w:val="auto"/>
        </w:rPr>
      </w:pPr>
      <w:r>
        <w:rPr>
          <w:rFonts w:ascii="Times New Roman" w:cs="Times New Roman" w:eastAsia="Times New Roman" w:hAnsi="Times New Roman"/>
          <w:sz w:val="28"/>
          <w:szCs w:val="28"/>
          <w:color w:val="auto"/>
        </w:rPr>
        <w:t>3.3. Оценка рыночной стоимости нематериальных активов</w:t>
      </w:r>
    </w:p>
    <w:p>
      <w:pPr>
        <w:spacing w:after="0" w:line="322" w:lineRule="exact"/>
        <w:rPr>
          <w:sz w:val="20"/>
          <w:szCs w:val="20"/>
          <w:color w:val="auto"/>
        </w:rPr>
      </w:pPr>
    </w:p>
    <w:p>
      <w:pPr>
        <w:jc w:val="center"/>
        <w:ind w:right="-259"/>
        <w:spacing w:after="0"/>
        <w:rPr>
          <w:sz w:val="20"/>
          <w:szCs w:val="20"/>
          <w:color w:val="auto"/>
        </w:rPr>
      </w:pPr>
      <w:r>
        <w:rPr>
          <w:rFonts w:ascii="Times New Roman" w:cs="Times New Roman" w:eastAsia="Times New Roman" w:hAnsi="Times New Roman"/>
          <w:sz w:val="28"/>
          <w:szCs w:val="28"/>
          <w:color w:val="auto"/>
        </w:rPr>
        <w:t>ДЕМОНСТРАЦИОННЫЕ ЗАДАЧИ</w:t>
      </w:r>
    </w:p>
    <w:p>
      <w:pPr>
        <w:spacing w:after="0" w:line="321" w:lineRule="exact"/>
        <w:rPr>
          <w:sz w:val="20"/>
          <w:szCs w:val="20"/>
          <w:color w:val="auto"/>
        </w:rPr>
      </w:pPr>
    </w:p>
    <w:p>
      <w:pPr>
        <w:jc w:val="both"/>
        <w:ind w:left="280" w:firstLine="706"/>
        <w:spacing w:after="0" w:line="243" w:lineRule="auto"/>
        <w:rPr>
          <w:sz w:val="20"/>
          <w:szCs w:val="20"/>
          <w:color w:val="auto"/>
        </w:rPr>
      </w:pPr>
      <w:r>
        <w:rPr>
          <w:rFonts w:ascii="Times New Roman" w:cs="Times New Roman" w:eastAsia="Times New Roman" w:hAnsi="Times New Roman"/>
          <w:sz w:val="28"/>
          <w:szCs w:val="28"/>
          <w:u w:val="single" w:color="auto"/>
          <w:color w:val="auto"/>
        </w:rPr>
        <w:t>Задача</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u w:val="single" w:color="auto"/>
          <w:color w:val="auto"/>
        </w:rPr>
        <w:t>3.3.1</w:t>
      </w:r>
      <w:r>
        <w:rPr>
          <w:rFonts w:ascii="Times New Roman" w:cs="Times New Roman" w:eastAsia="Times New Roman" w:hAnsi="Times New Roman"/>
          <w:sz w:val="28"/>
          <w:szCs w:val="28"/>
          <w:color w:val="auto"/>
        </w:rPr>
        <w:t>. Необходимо оценить рыночную стоимость нематериального актива предприятия, состоящего в факте ранее закрепленной клиентуры, руководствуясь следующими сведениями. Предприятие ведет операции по розничной продаже стандартизированного универсального технологического оборудования. Рынок не является конкурентным. Предприятие имеет возможность продавать оборудование по цене на 5% выше рыночной. Рыночная цена равна 20 тыс. руб. за штуку. В то же время цены на покупные ресурсы для рассматриваемого предприятия выше рыночных на 2%. Объем продаж оборудования постоянен и равен 100</w:t>
      </w:r>
    </w:p>
    <w:p>
      <w:pPr>
        <w:sectPr>
          <w:pgSz w:w="11900" w:h="16840" w:orient="portrait"/>
          <w:cols w:equalWidth="0" w:num="1">
            <w:col w:w="9620"/>
          </w:cols>
          <w:pgMar w:left="1440" w:top="1112" w:right="844" w:bottom="163" w:gutter="0" w:footer="0" w:header="0"/>
        </w:sectPr>
      </w:pPr>
    </w:p>
    <w:p>
      <w:pPr>
        <w:spacing w:after="0" w:line="199" w:lineRule="exact"/>
        <w:rPr>
          <w:sz w:val="20"/>
          <w:szCs w:val="20"/>
          <w:color w:val="auto"/>
        </w:rPr>
      </w:pPr>
    </w:p>
    <w:p>
      <w:pPr>
        <w:ind w:left="9380"/>
        <w:spacing w:after="0"/>
        <w:rPr>
          <w:sz w:val="20"/>
          <w:szCs w:val="20"/>
          <w:color w:val="auto"/>
        </w:rPr>
      </w:pPr>
      <w:r>
        <w:rPr>
          <w:rFonts w:ascii="Times New Roman" w:cs="Times New Roman" w:eastAsia="Times New Roman" w:hAnsi="Times New Roman"/>
          <w:sz w:val="24"/>
          <w:szCs w:val="24"/>
          <w:color w:val="auto"/>
        </w:rPr>
        <w:t>39</w:t>
      </w:r>
    </w:p>
    <w:p>
      <w:pPr>
        <w:sectPr>
          <w:pgSz w:w="11900" w:h="16840" w:orient="portrait"/>
          <w:cols w:equalWidth="0" w:num="1">
            <w:col w:w="9620"/>
          </w:cols>
          <w:pgMar w:left="1440" w:top="1112" w:right="844" w:bottom="163" w:gutter="0" w:footer="0" w:header="0"/>
          <w:type w:val="continuous"/>
        </w:sectPr>
      </w:pPr>
    </w:p>
    <w:p>
      <w:pPr>
        <w:jc w:val="both"/>
        <w:ind w:left="280" w:right="20"/>
        <w:spacing w:after="0" w:line="255" w:lineRule="auto"/>
        <w:rPr>
          <w:sz w:val="20"/>
          <w:szCs w:val="20"/>
          <w:color w:val="auto"/>
        </w:rPr>
      </w:pPr>
      <w:r>
        <w:rPr>
          <w:rFonts w:ascii="Times New Roman" w:cs="Times New Roman" w:eastAsia="Times New Roman" w:hAnsi="Times New Roman"/>
          <w:sz w:val="28"/>
          <w:szCs w:val="28"/>
          <w:color w:val="auto"/>
        </w:rPr>
        <w:t>штукам в год. Операционные издержки (с учетом накладных расходов и амортизационных отчислений) составляют 75% от объема реализации. Рекомендуемый коэффициент капитализации - 20%.</w:t>
      </w:r>
    </w:p>
    <w:p>
      <w:pPr>
        <w:spacing w:after="0" w:line="261" w:lineRule="exact"/>
        <w:rPr>
          <w:sz w:val="20"/>
          <w:szCs w:val="20"/>
          <w:color w:val="auto"/>
        </w:rPr>
      </w:pPr>
    </w:p>
    <w:p>
      <w:pPr>
        <w:ind w:left="980"/>
        <w:spacing w:after="0"/>
        <w:rPr>
          <w:sz w:val="20"/>
          <w:szCs w:val="20"/>
          <w:color w:val="auto"/>
        </w:rPr>
      </w:pPr>
      <w:r>
        <w:rPr>
          <w:rFonts w:ascii="Times New Roman" w:cs="Times New Roman" w:eastAsia="Times New Roman" w:hAnsi="Times New Roman"/>
          <w:sz w:val="28"/>
          <w:szCs w:val="28"/>
          <w:u w:val="single" w:color="auto"/>
          <w:color w:val="auto"/>
        </w:rPr>
        <w:t>Решение.</w:t>
      </w:r>
    </w:p>
    <w:p>
      <w:pPr>
        <w:spacing w:after="0" w:line="1" w:lineRule="exact"/>
        <w:rPr>
          <w:sz w:val="20"/>
          <w:szCs w:val="20"/>
          <w:color w:val="auto"/>
        </w:rPr>
      </w:pPr>
    </w:p>
    <w:p>
      <w:pPr>
        <w:jc w:val="both"/>
        <w:ind w:left="260" w:firstLine="722"/>
        <w:spacing w:after="0" w:line="239" w:lineRule="auto"/>
        <w:tabs>
          <w:tab w:leader="none" w:pos="1322" w:val="left"/>
        </w:tabs>
        <w:numPr>
          <w:ilvl w:val="0"/>
          <w:numId w:val="9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силу того, что задачей оценки в данном случае является лишь рыночная стоимость закрепленной клиентуры (т.е. покупателей), то информация об особенностях условий приобретения предприятием покупных ресурсов (хотя эти условия и уменьшат общую оценку рыночной стоимости предприятия) для решения задачи несущественна.</w:t>
      </w:r>
    </w:p>
    <w:p>
      <w:pPr>
        <w:spacing w:after="0" w:line="6" w:lineRule="exact"/>
        <w:rPr>
          <w:rFonts w:ascii="Times New Roman" w:cs="Times New Roman" w:eastAsia="Times New Roman" w:hAnsi="Times New Roman"/>
          <w:sz w:val="28"/>
          <w:szCs w:val="28"/>
          <w:color w:val="auto"/>
        </w:rPr>
      </w:pPr>
    </w:p>
    <w:p>
      <w:pPr>
        <w:ind w:left="260" w:firstLine="722"/>
        <w:spacing w:after="0"/>
        <w:tabs>
          <w:tab w:leader="none" w:pos="1260" w:val="left"/>
        </w:tabs>
        <w:numPr>
          <w:ilvl w:val="0"/>
          <w:numId w:val="9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Информация об операционных издержках предприятия также в контексте этой задачи не имеет отношения к делу.</w:t>
      </w:r>
    </w:p>
    <w:p>
      <w:pPr>
        <w:jc w:val="both"/>
        <w:ind w:left="260" w:firstLine="722"/>
        <w:spacing w:after="0" w:line="244" w:lineRule="auto"/>
        <w:tabs>
          <w:tab w:leader="none" w:pos="1260" w:val="left"/>
        </w:tabs>
        <w:numPr>
          <w:ilvl w:val="0"/>
          <w:numId w:val="9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Дополнительные прибыли (денежные потоки предприятия), которые обеспечивает именно факт закрепленности клиентуры и которые могут быть здесь названы «избыточными» применительно к определению рыночной стоимости указанного отдельно взятого нематериального актива, ежегодно составляют 5% от выручки как за продажу штуки оборудования (по цене в 20 тыс. руб.), так и общего годового количества продаж оборудования (ста); иначе говоря, «избыточные прибыли», происхождение которых может быть приписано оцениваемому нематериальному активу, равны:</w:t>
      </w:r>
    </w:p>
    <w:p>
      <w:pPr>
        <w:spacing w:after="0" w:line="147" w:lineRule="exact"/>
        <w:rPr>
          <w:sz w:val="20"/>
          <w:szCs w:val="20"/>
          <w:color w:val="auto"/>
        </w:rPr>
      </w:pPr>
    </w:p>
    <w:p>
      <w:pPr>
        <w:jc w:val="center"/>
        <w:ind w:right="-259"/>
        <w:spacing w:after="0"/>
        <w:rPr>
          <w:sz w:val="20"/>
          <w:szCs w:val="20"/>
          <w:color w:val="auto"/>
        </w:rPr>
      </w:pPr>
      <w:r>
        <w:rPr>
          <w:rFonts w:ascii="Times New Roman" w:cs="Times New Roman" w:eastAsia="Times New Roman" w:hAnsi="Times New Roman"/>
          <w:sz w:val="28"/>
          <w:szCs w:val="28"/>
          <w:color w:val="auto"/>
        </w:rPr>
        <w:t>П</w:t>
      </w:r>
      <w:r>
        <w:rPr>
          <w:rFonts w:ascii="Times New Roman" w:cs="Times New Roman" w:eastAsia="Times New Roman" w:hAnsi="Times New Roman"/>
          <w:sz w:val="36"/>
          <w:szCs w:val="36"/>
          <w:color w:val="auto"/>
          <w:vertAlign w:val="subscript"/>
        </w:rPr>
        <w:t>изб</w:t>
      </w:r>
      <w:r>
        <w:rPr>
          <w:rFonts w:ascii="Times New Roman" w:cs="Times New Roman" w:eastAsia="Times New Roman" w:hAnsi="Times New Roman"/>
          <w:sz w:val="28"/>
          <w:szCs w:val="28"/>
          <w:color w:val="auto"/>
        </w:rPr>
        <w:t xml:space="preserve"> = 20 000 · 100 · 0,05 = 100 000 руб.</w:t>
      </w:r>
    </w:p>
    <w:p>
      <w:pPr>
        <w:spacing w:after="0" w:line="362" w:lineRule="exact"/>
        <w:rPr>
          <w:sz w:val="20"/>
          <w:szCs w:val="20"/>
          <w:color w:val="auto"/>
        </w:rPr>
      </w:pPr>
    </w:p>
    <w:p>
      <w:pPr>
        <w:jc w:val="both"/>
        <w:ind w:left="260" w:firstLine="722"/>
        <w:spacing w:after="0" w:line="250" w:lineRule="auto"/>
        <w:tabs>
          <w:tab w:leader="none" w:pos="1327" w:val="left"/>
        </w:tabs>
        <w:numPr>
          <w:ilvl w:val="0"/>
          <w:numId w:val="9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Капитализация этих «избыточных прибылей» по рекомендуемому коэффициенту капитализации даст оценку капитала, воплощенного в порождающем их источнике, т.е. в нематериальном активе «закрепленная клиентура» (т.е. рыночной стоимости оцениваемого актива):</w:t>
      </w:r>
    </w:p>
    <w:p>
      <w:pPr>
        <w:spacing w:after="0" w:line="136" w:lineRule="exact"/>
        <w:rPr>
          <w:sz w:val="20"/>
          <w:szCs w:val="20"/>
          <w:color w:val="auto"/>
        </w:rPr>
      </w:pPr>
    </w:p>
    <w:p>
      <w:pPr>
        <w:jc w:val="center"/>
        <w:ind w:right="-259"/>
        <w:spacing w:after="0"/>
        <w:rPr>
          <w:sz w:val="20"/>
          <w:szCs w:val="20"/>
          <w:color w:val="auto"/>
        </w:rPr>
      </w:pPr>
      <w:r>
        <w:rPr>
          <w:rFonts w:ascii="Times New Roman" w:cs="Times New Roman" w:eastAsia="Times New Roman" w:hAnsi="Times New Roman"/>
          <w:sz w:val="28"/>
          <w:szCs w:val="28"/>
          <w:color w:val="auto"/>
        </w:rPr>
        <w:t>С</w:t>
      </w:r>
      <w:r>
        <w:rPr>
          <w:rFonts w:ascii="Times New Roman" w:cs="Times New Roman" w:eastAsia="Times New Roman" w:hAnsi="Times New Roman"/>
          <w:sz w:val="36"/>
          <w:szCs w:val="36"/>
          <w:color w:val="auto"/>
          <w:vertAlign w:val="subscript"/>
        </w:rPr>
        <w:t>нма</w:t>
      </w:r>
      <w:r>
        <w:rPr>
          <w:rFonts w:ascii="Times New Roman" w:cs="Times New Roman" w:eastAsia="Times New Roman" w:hAnsi="Times New Roman"/>
          <w:sz w:val="28"/>
          <w:szCs w:val="28"/>
          <w:color w:val="auto"/>
        </w:rPr>
        <w:t xml:space="preserve"> = 100 000 / 0,2 = 500 000 руб.</w:t>
      </w:r>
    </w:p>
    <w:p>
      <w:pPr>
        <w:spacing w:after="0" w:line="362" w:lineRule="exact"/>
        <w:rPr>
          <w:sz w:val="20"/>
          <w:szCs w:val="20"/>
          <w:color w:val="auto"/>
        </w:rPr>
      </w:pPr>
    </w:p>
    <w:p>
      <w:pPr>
        <w:jc w:val="both"/>
        <w:ind w:left="280" w:right="40" w:firstLine="695"/>
        <w:spacing w:after="0" w:line="239" w:lineRule="auto"/>
        <w:rPr>
          <w:sz w:val="20"/>
          <w:szCs w:val="20"/>
          <w:color w:val="auto"/>
        </w:rPr>
      </w:pPr>
      <w:r>
        <w:rPr>
          <w:rFonts w:ascii="Times New Roman" w:cs="Times New Roman" w:eastAsia="Times New Roman" w:hAnsi="Times New Roman"/>
          <w:sz w:val="28"/>
          <w:szCs w:val="28"/>
          <w:u w:val="single" w:color="auto"/>
          <w:color w:val="auto"/>
        </w:rPr>
        <w:t>Задача</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u w:val="single" w:color="auto"/>
          <w:color w:val="auto"/>
        </w:rPr>
        <w:t>3.3.2.</w:t>
      </w:r>
      <w:r>
        <w:rPr>
          <w:rFonts w:ascii="Times New Roman" w:cs="Times New Roman" w:eastAsia="Times New Roman" w:hAnsi="Times New Roman"/>
          <w:sz w:val="28"/>
          <w:szCs w:val="28"/>
          <w:color w:val="auto"/>
        </w:rPr>
        <w:t xml:space="preserve"> Переоцененная рыночная стоимость материальных активов предприятия - 200 млн. руб. Отношение чистой прибыли к собственному капиталу в отрасли, к которой принадлежит предприятие, равно 15%. Средняя годовая чистая прибыль предприятия за предыдущие пять лет в ценах года, когда производится оценка предприятия, составляет 35 млн. руб. Рекомендуемый коэффициент капитализации прибылей предприятия - 25%. Необходимо оценить стоимость «гудвилла» предприятия</w:t>
      </w:r>
    </w:p>
    <w:p>
      <w:pPr>
        <w:spacing w:after="0" w:line="9" w:lineRule="exact"/>
        <w:rPr>
          <w:sz w:val="20"/>
          <w:szCs w:val="20"/>
          <w:color w:val="auto"/>
        </w:rPr>
      </w:pPr>
    </w:p>
    <w:p>
      <w:pPr>
        <w:ind w:left="280" w:right="40" w:firstLine="7"/>
        <w:spacing w:after="0" w:line="271" w:lineRule="auto"/>
        <w:tabs>
          <w:tab w:leader="none" w:pos="738" w:val="left"/>
        </w:tabs>
        <w:numPr>
          <w:ilvl w:val="0"/>
          <w:numId w:val="9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суммарную рыночную стоимость предприятия согласно методу накопления активов.</w:t>
      </w:r>
    </w:p>
    <w:p>
      <w:pPr>
        <w:spacing w:after="0" w:line="239" w:lineRule="exact"/>
        <w:rPr>
          <w:sz w:val="20"/>
          <w:szCs w:val="20"/>
          <w:color w:val="auto"/>
        </w:rPr>
      </w:pPr>
    </w:p>
    <w:p>
      <w:pPr>
        <w:ind w:left="980"/>
        <w:spacing w:after="0"/>
        <w:rPr>
          <w:sz w:val="20"/>
          <w:szCs w:val="20"/>
          <w:color w:val="auto"/>
        </w:rPr>
      </w:pPr>
      <w:r>
        <w:rPr>
          <w:rFonts w:ascii="Times New Roman" w:cs="Times New Roman" w:eastAsia="Times New Roman" w:hAnsi="Times New Roman"/>
          <w:sz w:val="28"/>
          <w:szCs w:val="28"/>
          <w:u w:val="single" w:color="auto"/>
          <w:color w:val="auto"/>
        </w:rPr>
        <w:t>Решение.</w:t>
      </w:r>
    </w:p>
    <w:p>
      <w:pPr>
        <w:spacing w:after="0" w:line="1" w:lineRule="exact"/>
        <w:rPr>
          <w:sz w:val="20"/>
          <w:szCs w:val="20"/>
          <w:color w:val="auto"/>
        </w:rPr>
      </w:pPr>
    </w:p>
    <w:p>
      <w:pPr>
        <w:ind w:left="280" w:right="60" w:firstLine="702"/>
        <w:spacing w:after="0" w:line="239" w:lineRule="auto"/>
        <w:tabs>
          <w:tab w:leader="none" w:pos="1490" w:val="left"/>
        </w:tabs>
        <w:numPr>
          <w:ilvl w:val="0"/>
          <w:numId w:val="9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Оценка совокупности нематериальных активов («гудвилл») предприятия (НМА*) выполняется по следующему алгоритму:</w:t>
      </w:r>
    </w:p>
    <w:p>
      <w:pPr>
        <w:spacing w:after="0" w:line="1" w:lineRule="exact"/>
        <w:rPr>
          <w:rFonts w:ascii="Times New Roman" w:cs="Times New Roman" w:eastAsia="Times New Roman" w:hAnsi="Times New Roman"/>
          <w:sz w:val="28"/>
          <w:szCs w:val="28"/>
          <w:color w:val="auto"/>
        </w:rPr>
      </w:pPr>
    </w:p>
    <w:p>
      <w:pPr>
        <w:ind w:left="980" w:right="2040"/>
        <w:spacing w:after="0" w:line="271"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а) среднеотраслевая прибыль = 0,15 ·200 = 30 млн. руб. б) избыточная прибыль = 35 – 30 = 5 млн. руб.</w:t>
      </w:r>
    </w:p>
    <w:p>
      <w:pPr>
        <w:sectPr>
          <w:pgSz w:w="11900" w:h="16840" w:orient="portrait"/>
          <w:cols w:equalWidth="0" w:num="1">
            <w:col w:w="9620"/>
          </w:cols>
          <w:pgMar w:left="1440" w:top="1112" w:right="844" w:bottom="163" w:gutter="0" w:footer="0" w:header="0"/>
        </w:sectPr>
      </w:pPr>
    </w:p>
    <w:p>
      <w:pPr>
        <w:spacing w:after="0" w:line="152" w:lineRule="exact"/>
        <w:rPr>
          <w:sz w:val="20"/>
          <w:szCs w:val="20"/>
          <w:color w:val="auto"/>
        </w:rPr>
      </w:pPr>
    </w:p>
    <w:p>
      <w:pPr>
        <w:ind w:left="9380"/>
        <w:spacing w:after="0"/>
        <w:rPr>
          <w:sz w:val="20"/>
          <w:szCs w:val="20"/>
          <w:color w:val="auto"/>
        </w:rPr>
      </w:pPr>
      <w:r>
        <w:rPr>
          <w:rFonts w:ascii="Times New Roman" w:cs="Times New Roman" w:eastAsia="Times New Roman" w:hAnsi="Times New Roman"/>
          <w:sz w:val="24"/>
          <w:szCs w:val="24"/>
          <w:color w:val="auto"/>
        </w:rPr>
        <w:t>40</w:t>
      </w:r>
    </w:p>
    <w:p>
      <w:pPr>
        <w:sectPr>
          <w:pgSz w:w="11900" w:h="16840" w:orient="portrait"/>
          <w:cols w:equalWidth="0" w:num="1">
            <w:col w:w="9620"/>
          </w:cols>
          <w:pgMar w:left="1440" w:top="1112" w:right="844" w:bottom="163" w:gutter="0" w:footer="0" w:header="0"/>
          <w:type w:val="continuous"/>
        </w:sectPr>
      </w:pPr>
    </w:p>
    <w:p>
      <w:pPr>
        <w:ind w:left="980"/>
        <w:spacing w:after="0"/>
        <w:rPr>
          <w:sz w:val="20"/>
          <w:szCs w:val="20"/>
          <w:color w:val="auto"/>
        </w:rPr>
      </w:pPr>
      <w:r>
        <w:rPr>
          <w:rFonts w:ascii="Times New Roman" w:cs="Times New Roman" w:eastAsia="Times New Roman" w:hAnsi="Times New Roman"/>
          <w:sz w:val="28"/>
          <w:szCs w:val="28"/>
          <w:color w:val="auto"/>
        </w:rPr>
        <w:t>в) НМА* = 5 / 0,25 = 20 млн. руб.</w:t>
      </w:r>
    </w:p>
    <w:p>
      <w:pPr>
        <w:jc w:val="both"/>
        <w:ind w:left="260" w:right="60" w:firstLine="704"/>
        <w:spacing w:after="0" w:line="255" w:lineRule="auto"/>
        <w:tabs>
          <w:tab w:leader="none" w:pos="1376" w:val="left"/>
        </w:tabs>
        <w:numPr>
          <w:ilvl w:val="0"/>
          <w:numId w:val="9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Общая оценочная стоимость предприятия, представленная как сумма рыночной стоимости его материальных и всех нематериальных активов, тогда оказывается равной: 200 + 20 = 220 млн. руб.</w:t>
      </w:r>
    </w:p>
    <w:p>
      <w:pPr>
        <w:spacing w:after="0" w:line="263" w:lineRule="exact"/>
        <w:rPr>
          <w:sz w:val="20"/>
          <w:szCs w:val="20"/>
          <w:color w:val="auto"/>
        </w:rPr>
      </w:pPr>
    </w:p>
    <w:p>
      <w:pPr>
        <w:ind w:left="1780"/>
        <w:spacing w:after="0"/>
        <w:rPr>
          <w:sz w:val="20"/>
          <w:szCs w:val="20"/>
          <w:color w:val="auto"/>
        </w:rPr>
      </w:pPr>
      <w:r>
        <w:rPr>
          <w:rFonts w:ascii="Times New Roman" w:cs="Times New Roman" w:eastAsia="Times New Roman" w:hAnsi="Times New Roman"/>
          <w:sz w:val="28"/>
          <w:szCs w:val="28"/>
          <w:color w:val="auto"/>
        </w:rPr>
        <w:t>ЗАДАЧИ ДЛЯ САМОСТОЯТЕЛЬНОГО РЕШЕНИЯ</w:t>
      </w:r>
    </w:p>
    <w:p>
      <w:pPr>
        <w:spacing w:after="0" w:line="321" w:lineRule="exact"/>
        <w:rPr>
          <w:sz w:val="20"/>
          <w:szCs w:val="20"/>
          <w:color w:val="auto"/>
        </w:rPr>
      </w:pPr>
    </w:p>
    <w:p>
      <w:pPr>
        <w:jc w:val="both"/>
        <w:ind w:left="260" w:firstLine="711"/>
        <w:spacing w:after="0"/>
        <w:tabs>
          <w:tab w:leader="none" w:pos="1350" w:val="left"/>
        </w:tabs>
        <w:numPr>
          <w:ilvl w:val="1"/>
          <w:numId w:val="9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Аудиторско-консалтинговая фирма к 2008 г. завоевала прочные позиции на рынке. Рассчитать стоимость брэнда (наименование + товарный знак) на 01.01.2008 г. (прогнозный курс доллара 30 руб./долл.). Объем реализации - 0,17 млрд. руб. в год. При этом известно, что 45% суммы получены за счет услуг по аудиту, 30% - по оценке, 25% - другие консалтинговые услуги.</w:t>
      </w:r>
    </w:p>
    <w:p>
      <w:pPr>
        <w:jc w:val="both"/>
        <w:ind w:left="260" w:firstLine="709"/>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Исследование рынка показало, что имеется возможность реализовывать услуги: аудиторов на 25% выше среднерыночных; оценщиков на 10% выше среднерыночных; консалтинг 0%.</w:t>
      </w:r>
    </w:p>
    <w:p>
      <w:pPr>
        <w:ind w:left="260" w:firstLine="709"/>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Предполагается, что первые 5 лет доходы будут расти на 10% в год, а через 5 лет - на 5% в год.</w:t>
      </w:r>
    </w:p>
    <w:p>
      <w:pPr>
        <w:ind w:left="98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Ставку дисконтирования принять равной среднеотраслевому значению.</w:t>
      </w:r>
    </w:p>
    <w:p>
      <w:pPr>
        <w:spacing w:after="0" w:line="321" w:lineRule="exact"/>
        <w:rPr>
          <w:rFonts w:ascii="Times New Roman" w:cs="Times New Roman" w:eastAsia="Times New Roman" w:hAnsi="Times New Roman"/>
          <w:sz w:val="28"/>
          <w:szCs w:val="28"/>
          <w:color w:val="auto"/>
        </w:rPr>
      </w:pPr>
    </w:p>
    <w:p>
      <w:pPr>
        <w:jc w:val="both"/>
        <w:ind w:left="260" w:firstLine="711"/>
        <w:spacing w:after="0"/>
        <w:tabs>
          <w:tab w:leader="none" w:pos="1416" w:val="left"/>
        </w:tabs>
        <w:numPr>
          <w:ilvl w:val="1"/>
          <w:numId w:val="9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Оцениваемый объект – электролитический способ получения алюминия по технологии «сухой анод». Оцениваемый объект защищен патентами, оставшийся срок действия которых не менее 10 лет. Годовой объем производства продукции 800000 т. Себестоимость продукции до внедрения технологии составляла 1000 долл./т., а после внедрения постепенно снижается: 1 год – 995 долл./т., 2 год – 990 долл./т., 3 год – 985</w:t>
      </w:r>
    </w:p>
    <w:p>
      <w:pPr>
        <w:jc w:val="both"/>
        <w:ind w:left="26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долл./т., 4 год – 980 долл./т., 5 год – 975 долл./т. , 6 год – 970 долл./т., 7 год – 965 долл./т. , 8 год – 960 долл./т., 9 год – 955 долл./т., 10 год – 950 долл./т.</w:t>
      </w:r>
    </w:p>
    <w:p>
      <w:pPr>
        <w:jc w:val="both"/>
        <w:ind w:left="260"/>
        <w:spacing w:after="0" w:line="239"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Согласно долгосрочным прогнозам цена алюминия на Лондонской бирже цветных металлов будет изменяться следующим образом: 1 год – 1400</w:t>
      </w:r>
    </w:p>
    <w:p>
      <w:pPr>
        <w:spacing w:after="0" w:line="1" w:lineRule="exact"/>
        <w:rPr>
          <w:rFonts w:ascii="Times New Roman" w:cs="Times New Roman" w:eastAsia="Times New Roman" w:hAnsi="Times New Roman"/>
          <w:sz w:val="28"/>
          <w:szCs w:val="28"/>
          <w:color w:val="auto"/>
        </w:rPr>
      </w:pPr>
    </w:p>
    <w:p>
      <w:pPr>
        <w:ind w:left="26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долл./т., 2 год – 1350 долл./т., 3 год – 1390 долл./т., 4 год – 1380 долл./т., 5 год</w:t>
      </w:r>
    </w:p>
    <w:p>
      <w:pPr>
        <w:ind w:left="260"/>
        <w:spacing w:after="0" w:line="239"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1450 долл./т., 6 год – 1500 долл./т., 7 год – 1200 долл./т. , 8 год – 1250 долл./т., 9 год – 1300 долл./т., 10 год – 1420 долл./т.</w:t>
      </w:r>
    </w:p>
    <w:p>
      <w:pPr>
        <w:spacing w:after="0" w:line="1" w:lineRule="exact"/>
        <w:rPr>
          <w:rFonts w:ascii="Times New Roman" w:cs="Times New Roman" w:eastAsia="Times New Roman" w:hAnsi="Times New Roman"/>
          <w:sz w:val="28"/>
          <w:szCs w:val="28"/>
          <w:color w:val="auto"/>
        </w:rPr>
      </w:pPr>
    </w:p>
    <w:p>
      <w:pPr>
        <w:ind w:left="260" w:firstLine="709"/>
        <w:spacing w:after="0" w:line="271"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Необходимо обосновать ставку дисконтирования одним из известных способов с учетом специфики алюминиевой промышленности.</w:t>
      </w:r>
    </w:p>
    <w:p>
      <w:pPr>
        <w:spacing w:after="0" w:line="238" w:lineRule="exact"/>
        <w:rPr>
          <w:rFonts w:ascii="Times New Roman" w:cs="Times New Roman" w:eastAsia="Times New Roman" w:hAnsi="Times New Roman"/>
          <w:sz w:val="28"/>
          <w:szCs w:val="28"/>
          <w:color w:val="auto"/>
        </w:rPr>
      </w:pPr>
    </w:p>
    <w:p>
      <w:pPr>
        <w:ind w:left="260" w:firstLine="711"/>
        <w:spacing w:after="0"/>
        <w:tabs>
          <w:tab w:leader="none" w:pos="1378" w:val="left"/>
        </w:tabs>
        <w:numPr>
          <w:ilvl w:val="1"/>
          <w:numId w:val="9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Используя метод избыточных прибылей определить рыночную стоимость нематериальных активов предприятия.</w:t>
      </w:r>
    </w:p>
    <w:p>
      <w:pPr>
        <w:jc w:val="both"/>
        <w:ind w:left="260" w:firstLine="709"/>
        <w:spacing w:after="0" w:line="250"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Рыночная стоимость активов предприятия составляет 1 000 000 руб. Нормализованная чистая прибыль 300 000 руб. Средний доход на активы равен 20%. Ставка капитализации определяется исходя из данных о величине ставки дисконтирования 25% и долгосрочных темпов роста в 3%.</w:t>
      </w:r>
    </w:p>
    <w:p>
      <w:pPr>
        <w:sectPr>
          <w:pgSz w:w="11900" w:h="16840" w:orient="portrait"/>
          <w:cols w:equalWidth="0" w:num="1">
            <w:col w:w="9620"/>
          </w:cols>
          <w:pgMar w:left="1440" w:top="1112" w:right="844" w:bottom="16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ind w:left="9380"/>
        <w:spacing w:after="0"/>
        <w:rPr>
          <w:sz w:val="20"/>
          <w:szCs w:val="20"/>
          <w:color w:val="auto"/>
        </w:rPr>
      </w:pPr>
      <w:r>
        <w:rPr>
          <w:rFonts w:ascii="Times New Roman" w:cs="Times New Roman" w:eastAsia="Times New Roman" w:hAnsi="Times New Roman"/>
          <w:sz w:val="24"/>
          <w:szCs w:val="24"/>
          <w:color w:val="auto"/>
        </w:rPr>
        <w:t>41</w:t>
      </w:r>
    </w:p>
    <w:p>
      <w:pPr>
        <w:sectPr>
          <w:pgSz w:w="11900" w:h="16840" w:orient="portrait"/>
          <w:cols w:equalWidth="0" w:num="1">
            <w:col w:w="9620"/>
          </w:cols>
          <w:pgMar w:left="1440" w:top="1112" w:right="844" w:bottom="163" w:gutter="0" w:footer="0" w:header="0"/>
          <w:type w:val="continuous"/>
        </w:sectPr>
      </w:pPr>
    </w:p>
    <w:p>
      <w:pPr>
        <w:jc w:val="center"/>
        <w:ind w:right="-259"/>
        <w:spacing w:after="0"/>
        <w:rPr>
          <w:sz w:val="20"/>
          <w:szCs w:val="20"/>
          <w:color w:val="auto"/>
        </w:rPr>
      </w:pPr>
      <w:r>
        <w:rPr>
          <w:rFonts w:ascii="Times New Roman" w:cs="Times New Roman" w:eastAsia="Times New Roman" w:hAnsi="Times New Roman"/>
          <w:sz w:val="28"/>
          <w:szCs w:val="28"/>
          <w:color w:val="auto"/>
        </w:rPr>
        <w:t>3.4. Оценка рыночной стоимости финансовых вложений</w:t>
      </w:r>
    </w:p>
    <w:p>
      <w:pPr>
        <w:spacing w:after="0" w:line="322" w:lineRule="exact"/>
        <w:rPr>
          <w:sz w:val="20"/>
          <w:szCs w:val="20"/>
          <w:color w:val="auto"/>
        </w:rPr>
      </w:pPr>
    </w:p>
    <w:p>
      <w:pPr>
        <w:jc w:val="center"/>
        <w:ind w:right="-259"/>
        <w:spacing w:after="0"/>
        <w:rPr>
          <w:sz w:val="20"/>
          <w:szCs w:val="20"/>
          <w:color w:val="auto"/>
        </w:rPr>
      </w:pPr>
      <w:r>
        <w:rPr>
          <w:rFonts w:ascii="Times New Roman" w:cs="Times New Roman" w:eastAsia="Times New Roman" w:hAnsi="Times New Roman"/>
          <w:sz w:val="28"/>
          <w:szCs w:val="28"/>
          <w:color w:val="auto"/>
        </w:rPr>
        <w:t>ДЕМОНСТРАЦИОННЫЕ ЗАДАЧИ</w:t>
      </w:r>
    </w:p>
    <w:p>
      <w:pPr>
        <w:spacing w:after="0" w:line="321" w:lineRule="exact"/>
        <w:rPr>
          <w:sz w:val="20"/>
          <w:szCs w:val="20"/>
          <w:color w:val="auto"/>
        </w:rPr>
      </w:pPr>
    </w:p>
    <w:p>
      <w:pPr>
        <w:jc w:val="both"/>
        <w:ind w:left="260" w:firstLine="720"/>
        <w:spacing w:after="0" w:line="233" w:lineRule="auto"/>
        <w:rPr>
          <w:sz w:val="20"/>
          <w:szCs w:val="20"/>
          <w:color w:val="auto"/>
        </w:rPr>
      </w:pPr>
      <w:r>
        <w:rPr>
          <w:rFonts w:ascii="Times New Roman" w:cs="Times New Roman" w:eastAsia="Times New Roman" w:hAnsi="Times New Roman"/>
          <w:sz w:val="27"/>
          <w:szCs w:val="27"/>
          <w:u w:val="single" w:color="auto"/>
          <w:color w:val="auto"/>
        </w:rPr>
        <w:t>Задача</w:t>
      </w:r>
      <w:r>
        <w:rPr>
          <w:rFonts w:ascii="Times New Roman" w:cs="Times New Roman" w:eastAsia="Times New Roman" w:hAnsi="Times New Roman"/>
          <w:sz w:val="27"/>
          <w:szCs w:val="27"/>
          <w:color w:val="auto"/>
        </w:rPr>
        <w:t xml:space="preserve"> </w:t>
      </w:r>
      <w:r>
        <w:rPr>
          <w:rFonts w:ascii="Times New Roman" w:cs="Times New Roman" w:eastAsia="Times New Roman" w:hAnsi="Times New Roman"/>
          <w:sz w:val="27"/>
          <w:szCs w:val="27"/>
          <w:u w:val="single" w:color="auto"/>
          <w:color w:val="auto"/>
        </w:rPr>
        <w:t>3.4.1.</w:t>
      </w:r>
      <w:r>
        <w:rPr>
          <w:rFonts w:ascii="Times New Roman" w:cs="Times New Roman" w:eastAsia="Times New Roman" w:hAnsi="Times New Roman"/>
          <w:sz w:val="27"/>
          <w:szCs w:val="27"/>
          <w:color w:val="auto"/>
        </w:rPr>
        <w:t xml:space="preserve"> Оценить рыночную стоимость предполагаемой для публичного обращения муниципальной облигации, номинальная стоимость которой (V</w:t>
      </w:r>
      <w:r>
        <w:rPr>
          <w:rFonts w:ascii="Times New Roman" w:cs="Times New Roman" w:eastAsia="Times New Roman" w:hAnsi="Times New Roman"/>
          <w:sz w:val="35"/>
          <w:szCs w:val="35"/>
          <w:color w:val="auto"/>
          <w:vertAlign w:val="subscript"/>
        </w:rPr>
        <w:t>ном</w:t>
      </w:r>
      <w:r>
        <w:rPr>
          <w:rFonts w:ascii="Times New Roman" w:cs="Times New Roman" w:eastAsia="Times New Roman" w:hAnsi="Times New Roman"/>
          <w:sz w:val="27"/>
          <w:szCs w:val="27"/>
          <w:color w:val="auto"/>
        </w:rPr>
        <w:t>) равна 100 руб. До погашения облигации остается 2 года (n). Номинальная ставка процента по облигации (используемая для расчета годового купонного дохода в процентах от ее номинальной стоимости) - 20% (i</w:t>
      </w:r>
      <w:r>
        <w:rPr>
          <w:rFonts w:ascii="Times New Roman" w:cs="Times New Roman" w:eastAsia="Times New Roman" w:hAnsi="Times New Roman"/>
          <w:sz w:val="35"/>
          <w:szCs w:val="35"/>
          <w:color w:val="auto"/>
          <w:vertAlign w:val="subscript"/>
        </w:rPr>
        <w:t>ном</w:t>
      </w:r>
      <w:r>
        <w:rPr>
          <w:rFonts w:ascii="Times New Roman" w:cs="Times New Roman" w:eastAsia="Times New Roman" w:hAnsi="Times New Roman"/>
          <w:sz w:val="27"/>
          <w:szCs w:val="27"/>
          <w:color w:val="auto"/>
        </w:rPr>
        <w:t>). Доходность сопоставимых по рискам (также безрисковых для держания их до того же срока погашения) государственных облигаций - 18 %.</w:t>
      </w:r>
    </w:p>
    <w:p>
      <w:pPr>
        <w:spacing w:after="0" w:line="287" w:lineRule="exact"/>
        <w:rPr>
          <w:sz w:val="20"/>
          <w:szCs w:val="20"/>
          <w:color w:val="auto"/>
        </w:rPr>
      </w:pPr>
    </w:p>
    <w:p>
      <w:pPr>
        <w:ind w:left="980"/>
        <w:spacing w:after="0"/>
        <w:rPr>
          <w:sz w:val="20"/>
          <w:szCs w:val="20"/>
          <w:color w:val="auto"/>
        </w:rPr>
      </w:pPr>
      <w:r>
        <w:rPr>
          <w:rFonts w:ascii="Times New Roman" w:cs="Times New Roman" w:eastAsia="Times New Roman" w:hAnsi="Times New Roman"/>
          <w:sz w:val="28"/>
          <w:szCs w:val="28"/>
          <w:u w:val="single" w:color="auto"/>
          <w:color w:val="auto"/>
        </w:rPr>
        <w:t>Решение.</w:t>
      </w:r>
    </w:p>
    <w:p>
      <w:pPr>
        <w:jc w:val="both"/>
        <w:ind w:left="260" w:right="20" w:firstLine="716"/>
        <w:spacing w:after="0" w:line="215" w:lineRule="auto"/>
        <w:rPr>
          <w:sz w:val="20"/>
          <w:szCs w:val="20"/>
          <w:color w:val="auto"/>
        </w:rPr>
      </w:pPr>
      <w:r>
        <w:rPr>
          <w:rFonts w:ascii="Times New Roman" w:cs="Times New Roman" w:eastAsia="Times New Roman" w:hAnsi="Times New Roman"/>
          <w:sz w:val="28"/>
          <w:szCs w:val="28"/>
          <w:color w:val="auto"/>
        </w:rPr>
        <w:t>Необходимо оценить стоимость бизнеса по покупке и держанию облигации. Доходы с этого бизнеса прогнозируются как фиксированные: (а) по завершении каждого года t - купонный доход в процентах от номинальной стоимости облигации (А</w:t>
      </w:r>
      <w:r>
        <w:rPr>
          <w:rFonts w:ascii="Times New Roman" w:cs="Times New Roman" w:eastAsia="Times New Roman" w:hAnsi="Times New Roman"/>
          <w:sz w:val="36"/>
          <w:szCs w:val="36"/>
          <w:color w:val="auto"/>
          <w:vertAlign w:val="subscript"/>
        </w:rPr>
        <w:t>t</w:t>
      </w:r>
      <w:r>
        <w:rPr>
          <w:rFonts w:ascii="Times New Roman" w:cs="Times New Roman" w:eastAsia="Times New Roman" w:hAnsi="Times New Roman"/>
          <w:sz w:val="28"/>
          <w:szCs w:val="28"/>
          <w:color w:val="auto"/>
        </w:rPr>
        <w:t xml:space="preserve"> = V</w:t>
      </w:r>
      <w:r>
        <w:rPr>
          <w:rFonts w:ascii="Times New Roman" w:cs="Times New Roman" w:eastAsia="Times New Roman" w:hAnsi="Times New Roman"/>
          <w:sz w:val="36"/>
          <w:szCs w:val="36"/>
          <w:color w:val="auto"/>
          <w:vertAlign w:val="subscript"/>
        </w:rPr>
        <w:t>ном</w:t>
      </w:r>
      <w:r>
        <w:rPr>
          <w:rFonts w:ascii="Times New Roman" w:cs="Times New Roman" w:eastAsia="Times New Roman" w:hAnsi="Times New Roman"/>
          <w:sz w:val="28"/>
          <w:szCs w:val="28"/>
          <w:color w:val="auto"/>
        </w:rPr>
        <w:t>·i</w:t>
      </w:r>
      <w:r>
        <w:rPr>
          <w:rFonts w:ascii="Times New Roman" w:cs="Times New Roman" w:eastAsia="Times New Roman" w:hAnsi="Times New Roman"/>
          <w:sz w:val="36"/>
          <w:szCs w:val="36"/>
          <w:color w:val="auto"/>
          <w:vertAlign w:val="subscript"/>
        </w:rPr>
        <w:t>ном</w:t>
      </w:r>
      <w:r>
        <w:rPr>
          <w:rFonts w:ascii="Times New Roman" w:cs="Times New Roman" w:eastAsia="Times New Roman" w:hAnsi="Times New Roman"/>
          <w:sz w:val="28"/>
          <w:szCs w:val="28"/>
          <w:color w:val="auto"/>
        </w:rPr>
        <w:t>); (б) по истечении срока облигации - погашение ее по номинальной стоимости (А</w:t>
      </w:r>
      <w:r>
        <w:rPr>
          <w:rFonts w:ascii="Times New Roman" w:cs="Times New Roman" w:eastAsia="Times New Roman" w:hAnsi="Times New Roman"/>
          <w:sz w:val="36"/>
          <w:szCs w:val="36"/>
          <w:color w:val="auto"/>
          <w:vertAlign w:val="subscript"/>
        </w:rPr>
        <w:t>t</w:t>
      </w:r>
      <w:r>
        <w:rPr>
          <w:rFonts w:ascii="Times New Roman" w:cs="Times New Roman" w:eastAsia="Times New Roman" w:hAnsi="Times New Roman"/>
          <w:sz w:val="28"/>
          <w:szCs w:val="28"/>
          <w:color w:val="auto"/>
        </w:rPr>
        <w:t xml:space="preserve"> = V</w:t>
      </w:r>
      <w:r>
        <w:rPr>
          <w:rFonts w:ascii="Times New Roman" w:cs="Times New Roman" w:eastAsia="Times New Roman" w:hAnsi="Times New Roman"/>
          <w:sz w:val="36"/>
          <w:szCs w:val="36"/>
          <w:color w:val="auto"/>
          <w:vertAlign w:val="subscript"/>
        </w:rPr>
        <w:t>ном</w:t>
      </w:r>
      <w:r>
        <w:rPr>
          <w:rFonts w:ascii="Times New Roman" w:cs="Times New Roman" w:eastAsia="Times New Roman" w:hAnsi="Times New Roman"/>
          <w:sz w:val="28"/>
          <w:szCs w:val="28"/>
          <w:color w:val="auto"/>
        </w:rPr>
        <w:t>· i</w:t>
      </w:r>
      <w:r>
        <w:rPr>
          <w:rFonts w:ascii="Times New Roman" w:cs="Times New Roman" w:eastAsia="Times New Roman" w:hAnsi="Times New Roman"/>
          <w:sz w:val="36"/>
          <w:szCs w:val="36"/>
          <w:color w:val="auto"/>
          <w:vertAlign w:val="subscript"/>
        </w:rPr>
        <w:t>ном</w:t>
      </w:r>
      <w:r>
        <w:rPr>
          <w:rFonts w:ascii="Times New Roman" w:cs="Times New Roman" w:eastAsia="Times New Roman" w:hAnsi="Times New Roman"/>
          <w:sz w:val="28"/>
          <w:szCs w:val="28"/>
          <w:color w:val="auto"/>
        </w:rPr>
        <w:t xml:space="preserve"> + V</w:t>
      </w:r>
      <w:r>
        <w:rPr>
          <w:rFonts w:ascii="Times New Roman" w:cs="Times New Roman" w:eastAsia="Times New Roman" w:hAnsi="Times New Roman"/>
          <w:sz w:val="36"/>
          <w:szCs w:val="36"/>
          <w:color w:val="auto"/>
          <w:vertAlign w:val="subscript"/>
        </w:rPr>
        <w:t>ном</w:t>
      </w:r>
      <w:r>
        <w:rPr>
          <w:rFonts w:ascii="Times New Roman" w:cs="Times New Roman" w:eastAsia="Times New Roman" w:hAnsi="Times New Roman"/>
          <w:sz w:val="28"/>
          <w:szCs w:val="28"/>
          <w:color w:val="auto"/>
        </w:rPr>
        <w:t>).</w:t>
      </w:r>
    </w:p>
    <w:p>
      <w:pPr>
        <w:spacing w:after="0" w:line="3" w:lineRule="exact"/>
        <w:rPr>
          <w:sz w:val="20"/>
          <w:szCs w:val="20"/>
          <w:color w:val="auto"/>
        </w:rPr>
      </w:pPr>
    </w:p>
    <w:p>
      <w:pPr>
        <w:jc w:val="both"/>
        <w:ind w:left="260" w:right="20" w:firstLine="722"/>
        <w:spacing w:after="0" w:line="239" w:lineRule="auto"/>
        <w:tabs>
          <w:tab w:leader="none" w:pos="1248" w:val="left"/>
        </w:tabs>
        <w:numPr>
          <w:ilvl w:val="0"/>
          <w:numId w:val="9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качестве ставки дисконта может быть взята сопоставимая по рискам ставка дохода по государственным облигациям (также безрисковая; муниципальные облигации гарантированы местными налогами, государственные облигации - федеральными налогами): R = 0,18.</w:t>
      </w:r>
    </w:p>
    <w:p>
      <w:pPr>
        <w:spacing w:after="0" w:line="5" w:lineRule="exact"/>
        <w:rPr>
          <w:rFonts w:ascii="Times New Roman" w:cs="Times New Roman" w:eastAsia="Times New Roman" w:hAnsi="Times New Roman"/>
          <w:sz w:val="28"/>
          <w:szCs w:val="28"/>
          <w:color w:val="auto"/>
        </w:rPr>
      </w:pPr>
    </w:p>
    <w:p>
      <w:pPr>
        <w:jc w:val="both"/>
        <w:ind w:left="260" w:firstLine="720"/>
        <w:spacing w:after="0" w:line="255"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На конкурентных рынках стоимость бизнеса (здесь - муниципальной облигации) стремится к остаточной текущей стоимости ожидаемых с него доходов. Следовательно:</w:t>
      </w:r>
    </w:p>
    <w:p>
      <w:pPr>
        <w:spacing w:after="0" w:line="231" w:lineRule="exact"/>
        <w:rPr>
          <w:sz w:val="20"/>
          <w:szCs w:val="20"/>
          <w:color w:val="auto"/>
        </w:rPr>
      </w:pPr>
    </w:p>
    <w:p>
      <w:pPr>
        <w:ind w:left="1480" w:hanging="275"/>
        <w:spacing w:after="0"/>
        <w:tabs>
          <w:tab w:leader="none" w:pos="1480" w:val="left"/>
        </w:tabs>
        <w:numPr>
          <w:ilvl w:val="1"/>
          <w:numId w:val="9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100·0,2/(1+0,18) + (100·0,2+100)/(1+0,18)</w:t>
      </w:r>
      <w:r>
        <w:rPr>
          <w:rFonts w:ascii="Times New Roman" w:cs="Times New Roman" w:eastAsia="Times New Roman" w:hAnsi="Times New Roman"/>
          <w:sz w:val="36"/>
          <w:szCs w:val="36"/>
          <w:color w:val="auto"/>
          <w:vertAlign w:val="superscript"/>
        </w:rPr>
        <w:t>2</w:t>
      </w:r>
      <w:r>
        <w:rPr>
          <w:rFonts w:ascii="Times New Roman" w:cs="Times New Roman" w:eastAsia="Times New Roman" w:hAnsi="Times New Roman"/>
          <w:sz w:val="28"/>
          <w:szCs w:val="28"/>
          <w:color w:val="auto"/>
        </w:rPr>
        <w:t xml:space="preserve"> = 103,13 руб.</w:t>
      </w:r>
    </w:p>
    <w:p>
      <w:pPr>
        <w:spacing w:after="0" w:line="261" w:lineRule="exact"/>
        <w:rPr>
          <w:rFonts w:ascii="Times New Roman" w:cs="Times New Roman" w:eastAsia="Times New Roman" w:hAnsi="Times New Roman"/>
          <w:sz w:val="28"/>
          <w:szCs w:val="28"/>
          <w:color w:val="auto"/>
        </w:rPr>
      </w:pPr>
    </w:p>
    <w:p>
      <w:pPr>
        <w:ind w:left="178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ЗАДАЧИ ДЛЯ САМОСТОЯТЕЛЬНОГО РЕШЕНИЯ</w:t>
      </w:r>
    </w:p>
    <w:p>
      <w:pPr>
        <w:spacing w:after="0" w:line="321" w:lineRule="exact"/>
        <w:rPr>
          <w:rFonts w:ascii="Times New Roman" w:cs="Times New Roman" w:eastAsia="Times New Roman" w:hAnsi="Times New Roman"/>
          <w:sz w:val="28"/>
          <w:szCs w:val="28"/>
          <w:color w:val="auto"/>
        </w:rPr>
      </w:pPr>
    </w:p>
    <w:p>
      <w:pPr>
        <w:jc w:val="both"/>
        <w:ind w:left="260" w:firstLine="722"/>
        <w:spacing w:after="0" w:line="244" w:lineRule="auto"/>
        <w:tabs>
          <w:tab w:leader="none" w:pos="1382" w:val="left"/>
        </w:tabs>
        <w:numPr>
          <w:ilvl w:val="0"/>
          <w:numId w:val="9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Оценить рыночную стоимость предполагаемой для публичного обращения муниципальной облигации, номинальная стоимость которой равна 200 руб. До погашения облигации остается 1 год. Номинальная ставка процента по облигации (используемая для расчета годового купонного дохода в процентах от ее номинальной стоимости) - 16%. Ставка налога по операциям с ценными бумагами - 15%. Доходность сопоставимых по рискам (также безрисковых для держания их до того же срока погашения) государственных облигаций - 17%.</w:t>
      </w:r>
    </w:p>
    <w:p>
      <w:pPr>
        <w:spacing w:after="0" w:line="279" w:lineRule="exact"/>
        <w:rPr>
          <w:rFonts w:ascii="Times New Roman" w:cs="Times New Roman" w:eastAsia="Times New Roman" w:hAnsi="Times New Roman"/>
          <w:sz w:val="28"/>
          <w:szCs w:val="28"/>
          <w:color w:val="auto"/>
        </w:rPr>
      </w:pPr>
    </w:p>
    <w:p>
      <w:pPr>
        <w:jc w:val="both"/>
        <w:ind w:left="260" w:firstLine="722"/>
        <w:spacing w:after="0" w:line="250" w:lineRule="auto"/>
        <w:tabs>
          <w:tab w:leader="none" w:pos="1297" w:val="left"/>
        </w:tabs>
        <w:numPr>
          <w:ilvl w:val="0"/>
          <w:numId w:val="9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Рыночная стоимость ликвидной облигации на конкурентном рынке равна 102 руб. Ее номинальная стоимость - 150 руб., номинальная ставка годового купонного процента - 20%. Срок до погашения облигации - 2 года. Ставка налога - 15%. Какова фактическая ставка дохода по этой облигации?</w:t>
      </w:r>
    </w:p>
    <w:p>
      <w:pPr>
        <w:sectPr>
          <w:pgSz w:w="11900" w:h="16840" w:orient="portrait"/>
          <w:cols w:equalWidth="0" w:num="1">
            <w:col w:w="9620"/>
          </w:cols>
          <w:pgMar w:left="1440" w:top="1112" w:right="844" w:bottom="16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ind w:left="9380"/>
        <w:spacing w:after="0"/>
        <w:rPr>
          <w:sz w:val="20"/>
          <w:szCs w:val="20"/>
          <w:color w:val="auto"/>
        </w:rPr>
      </w:pPr>
      <w:r>
        <w:rPr>
          <w:rFonts w:ascii="Times New Roman" w:cs="Times New Roman" w:eastAsia="Times New Roman" w:hAnsi="Times New Roman"/>
          <w:sz w:val="24"/>
          <w:szCs w:val="24"/>
          <w:color w:val="auto"/>
        </w:rPr>
        <w:t>42</w:t>
      </w:r>
    </w:p>
    <w:p>
      <w:pPr>
        <w:sectPr>
          <w:pgSz w:w="11900" w:h="16840" w:orient="portrait"/>
          <w:cols w:equalWidth="0" w:num="1">
            <w:col w:w="9620"/>
          </w:cols>
          <w:pgMar w:left="1440" w:top="1112" w:right="844" w:bottom="163" w:gutter="0" w:footer="0" w:header="0"/>
          <w:type w:val="continuous"/>
        </w:sectPr>
      </w:pPr>
    </w:p>
    <w:p>
      <w:pPr>
        <w:jc w:val="both"/>
        <w:ind w:left="260" w:firstLine="722"/>
        <w:spacing w:after="0" w:line="255" w:lineRule="auto"/>
        <w:tabs>
          <w:tab w:leader="none" w:pos="1280" w:val="left"/>
        </w:tabs>
        <w:numPr>
          <w:ilvl w:val="0"/>
          <w:numId w:val="9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Определить текущую стоимость облигации с оставшимся сроком до погашения 5 лет, с номинальной стоимостью 1 млн. руб., приносящей 8%-ный купонный доход при требуемом уровне доходности 10%.</w:t>
      </w:r>
    </w:p>
    <w:p>
      <w:pPr>
        <w:spacing w:after="0" w:line="261" w:lineRule="exact"/>
        <w:rPr>
          <w:rFonts w:ascii="Times New Roman" w:cs="Times New Roman" w:eastAsia="Times New Roman" w:hAnsi="Times New Roman"/>
          <w:sz w:val="28"/>
          <w:szCs w:val="28"/>
          <w:color w:val="auto"/>
        </w:rPr>
      </w:pPr>
    </w:p>
    <w:p>
      <w:pPr>
        <w:jc w:val="both"/>
        <w:ind w:left="260" w:firstLine="722"/>
        <w:spacing w:after="0" w:line="247" w:lineRule="auto"/>
        <w:tabs>
          <w:tab w:leader="none" w:pos="1378" w:val="left"/>
        </w:tabs>
        <w:numPr>
          <w:ilvl w:val="0"/>
          <w:numId w:val="9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Определить текущую цену акции при условии, что последние фактические дивиденды, выплаченные компанией, составили 200 руб. Ожидаемые ежегодные темпы роста дивидендов составляют 13% на протяжении 10 лет, а по истечении 10 лет и до бесконечности – 10%. Требуемая норма дохода по акциям компании равна 16%.</w:t>
      </w:r>
    </w:p>
    <w:p>
      <w:pPr>
        <w:spacing w:after="0" w:line="275" w:lineRule="exact"/>
        <w:rPr>
          <w:rFonts w:ascii="Times New Roman" w:cs="Times New Roman" w:eastAsia="Times New Roman" w:hAnsi="Times New Roman"/>
          <w:sz w:val="28"/>
          <w:szCs w:val="28"/>
          <w:color w:val="auto"/>
        </w:rPr>
      </w:pPr>
    </w:p>
    <w:p>
      <w:pPr>
        <w:jc w:val="both"/>
        <w:ind w:left="260" w:firstLine="722"/>
        <w:spacing w:after="0" w:line="246" w:lineRule="auto"/>
        <w:tabs>
          <w:tab w:leader="none" w:pos="1317" w:val="left"/>
        </w:tabs>
        <w:numPr>
          <w:ilvl w:val="0"/>
          <w:numId w:val="9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Рыночная стоимость готовой продукции на складе составляет 500 тыс. руб. Известно, что средний коэффициент возврата товара из-за брака в течение финансового периода равен 5%. Эта величина заложена в расчет себестоимости продукции. Какова должна быть согласно методу накопления активов оценка обоснованной рыночной стоимости запаса готовой, но не реализованной продукции?</w:t>
      </w:r>
    </w:p>
    <w:p>
      <w:pPr>
        <w:spacing w:after="0" w:line="273" w:lineRule="exact"/>
        <w:rPr>
          <w:rFonts w:ascii="Times New Roman" w:cs="Times New Roman" w:eastAsia="Times New Roman" w:hAnsi="Times New Roman"/>
          <w:sz w:val="28"/>
          <w:szCs w:val="28"/>
          <w:color w:val="auto"/>
        </w:rPr>
      </w:pPr>
    </w:p>
    <w:p>
      <w:pPr>
        <w:jc w:val="both"/>
        <w:ind w:left="260" w:firstLine="722"/>
        <w:spacing w:after="0" w:line="247" w:lineRule="auto"/>
        <w:tabs>
          <w:tab w:leader="none" w:pos="1453" w:val="left"/>
        </w:tabs>
        <w:numPr>
          <w:ilvl w:val="0"/>
          <w:numId w:val="9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Какова рыночная стоимость дебиторской задолженности по продажам в рассрочку клиенту, если балансовая величина этой задолженности составляет 1 млн. руб. и предусмотрено ее погашение в два приема поровну через 1 и 2 месяца? Ставка дисконта, учитывающая риски неплатежа, равна 24% годовых.</w:t>
      </w:r>
    </w:p>
    <w:p>
      <w:pPr>
        <w:sectPr>
          <w:pgSz w:w="11900" w:h="16840" w:orient="portrait"/>
          <w:cols w:equalWidth="0" w:num="1">
            <w:col w:w="9620"/>
          </w:cols>
          <w:pgMar w:left="1440" w:top="1112" w:right="844" w:bottom="16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ind w:left="9380"/>
        <w:spacing w:after="0"/>
        <w:rPr>
          <w:sz w:val="20"/>
          <w:szCs w:val="20"/>
          <w:color w:val="auto"/>
        </w:rPr>
      </w:pPr>
      <w:r>
        <w:rPr>
          <w:rFonts w:ascii="Times New Roman" w:cs="Times New Roman" w:eastAsia="Times New Roman" w:hAnsi="Times New Roman"/>
          <w:sz w:val="24"/>
          <w:szCs w:val="24"/>
          <w:color w:val="auto"/>
        </w:rPr>
        <w:t>43</w:t>
      </w:r>
    </w:p>
    <w:p>
      <w:pPr>
        <w:sectPr>
          <w:pgSz w:w="11900" w:h="16840" w:orient="portrait"/>
          <w:cols w:equalWidth="0" w:num="1">
            <w:col w:w="9620"/>
          </w:cols>
          <w:pgMar w:left="1440" w:top="1112" w:right="844" w:bottom="163" w:gutter="0" w:footer="0" w:header="0"/>
          <w:type w:val="continuous"/>
        </w:sectPr>
      </w:pPr>
    </w:p>
    <w:p>
      <w:pPr>
        <w:ind w:left="2460" w:right="1760" w:hanging="437"/>
        <w:spacing w:after="0" w:line="266" w:lineRule="auto"/>
        <w:tabs>
          <w:tab w:leader="none" w:pos="2380" w:val="left"/>
        </w:tabs>
        <w:numPr>
          <w:ilvl w:val="0"/>
          <w:numId w:val="9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ОЦЕНКА СТОИМОСТИ КОНТРОЛЬНЫХ И НЕКОНТРОЛЬНЫХ ПАКЕТОВ АКЦИЙ</w:t>
      </w:r>
    </w:p>
    <w:p>
      <w:pPr>
        <w:spacing w:after="0" w:line="232" w:lineRule="exact"/>
        <w:rPr>
          <w:sz w:val="20"/>
          <w:szCs w:val="20"/>
          <w:color w:val="auto"/>
        </w:rPr>
      </w:pPr>
    </w:p>
    <w:p>
      <w:pPr>
        <w:jc w:val="center"/>
        <w:ind w:right="-259"/>
        <w:spacing w:after="0"/>
        <w:rPr>
          <w:sz w:val="20"/>
          <w:szCs w:val="20"/>
          <w:color w:val="auto"/>
        </w:rPr>
      </w:pPr>
      <w:r>
        <w:rPr>
          <w:rFonts w:ascii="Times New Roman" w:cs="Times New Roman" w:eastAsia="Times New Roman" w:hAnsi="Times New Roman"/>
          <w:sz w:val="28"/>
          <w:szCs w:val="28"/>
          <w:color w:val="auto"/>
        </w:rPr>
        <w:t>ДЕМОНСТРАЦИОННЫЕ ЗАДАЧИ</w:t>
      </w:r>
    </w:p>
    <w:p>
      <w:pPr>
        <w:spacing w:after="0" w:line="309" w:lineRule="exact"/>
        <w:rPr>
          <w:sz w:val="20"/>
          <w:szCs w:val="20"/>
          <w:color w:val="auto"/>
        </w:rPr>
      </w:pPr>
    </w:p>
    <w:p>
      <w:pPr>
        <w:jc w:val="both"/>
        <w:ind w:left="260" w:firstLine="720"/>
        <w:spacing w:after="0" w:line="238" w:lineRule="auto"/>
        <w:rPr>
          <w:sz w:val="20"/>
          <w:szCs w:val="20"/>
          <w:color w:val="auto"/>
        </w:rPr>
      </w:pPr>
      <w:r>
        <w:rPr>
          <w:rFonts w:ascii="Times New Roman" w:cs="Times New Roman" w:eastAsia="Times New Roman" w:hAnsi="Times New Roman"/>
          <w:sz w:val="28"/>
          <w:szCs w:val="28"/>
          <w:u w:val="single" w:color="auto"/>
          <w:color w:val="auto"/>
        </w:rPr>
        <w:t>Задача</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u w:val="single" w:color="auto"/>
          <w:color w:val="auto"/>
        </w:rPr>
        <w:t>4.1.</w:t>
      </w:r>
      <w:r>
        <w:rPr>
          <w:rFonts w:ascii="Times New Roman" w:cs="Times New Roman" w:eastAsia="Times New Roman" w:hAnsi="Times New Roman"/>
          <w:sz w:val="28"/>
          <w:szCs w:val="28"/>
          <w:color w:val="auto"/>
        </w:rPr>
        <w:t xml:space="preserve"> Требуется оценить стоимость 5%- ного пакета акций закрытого акционерного общества, акции которого в результате их инициативных продаж его акционерами появились на рынке и фактически уже предлагаются на нем к перепродаже. Обоснованная рыночная стоимость компании, определенная методом дисконтированного денежного потока, составляет 50 млн. руб . Рекомендуемая для использования при необходимости информация относительно характерных для данной отрасли (и компаний схожего размера ) скидок (премий), которые могут быть учтены при оценке рассматриваемого пакета акций: скидка за недостаток контроля – 25%; премия за приобретаемый контроль – 40%; скидка за недостаток ликвидности – 30%; скидка, основанная на издержках по размещению акций на рынке – 15%.</w:t>
      </w:r>
    </w:p>
    <w:p>
      <w:pPr>
        <w:spacing w:after="0" w:line="260" w:lineRule="exact"/>
        <w:rPr>
          <w:sz w:val="20"/>
          <w:szCs w:val="20"/>
          <w:color w:val="auto"/>
        </w:rPr>
      </w:pPr>
    </w:p>
    <w:p>
      <w:pPr>
        <w:ind w:left="980"/>
        <w:spacing w:after="0"/>
        <w:rPr>
          <w:sz w:val="20"/>
          <w:szCs w:val="20"/>
          <w:color w:val="auto"/>
        </w:rPr>
      </w:pPr>
      <w:r>
        <w:rPr>
          <w:rFonts w:ascii="Times New Roman" w:cs="Times New Roman" w:eastAsia="Times New Roman" w:hAnsi="Times New Roman"/>
          <w:sz w:val="28"/>
          <w:szCs w:val="28"/>
          <w:u w:val="single" w:color="auto"/>
          <w:color w:val="auto"/>
        </w:rPr>
        <w:t>Решение.</w:t>
      </w:r>
    </w:p>
    <w:p>
      <w:pPr>
        <w:ind w:left="980"/>
        <w:spacing w:after="0"/>
        <w:rPr>
          <w:sz w:val="20"/>
          <w:szCs w:val="20"/>
          <w:color w:val="auto"/>
        </w:rPr>
      </w:pPr>
      <w:r>
        <w:rPr>
          <w:rFonts w:ascii="Times New Roman" w:cs="Times New Roman" w:eastAsia="Times New Roman" w:hAnsi="Times New Roman"/>
          <w:sz w:val="28"/>
          <w:szCs w:val="28"/>
          <w:color w:val="auto"/>
        </w:rPr>
        <w:t>Пропорциональная доля 5% акций в 100% акций предприятия равна:</w:t>
      </w:r>
    </w:p>
    <w:p>
      <w:pPr>
        <w:spacing w:after="0" w:line="308" w:lineRule="exact"/>
        <w:rPr>
          <w:sz w:val="20"/>
          <w:szCs w:val="20"/>
          <w:color w:val="auto"/>
        </w:rPr>
      </w:pPr>
    </w:p>
    <w:p>
      <w:pPr>
        <w:jc w:val="center"/>
        <w:ind w:right="-259"/>
        <w:spacing w:after="0"/>
        <w:rPr>
          <w:sz w:val="20"/>
          <w:szCs w:val="20"/>
          <w:color w:val="auto"/>
        </w:rPr>
      </w:pPr>
      <w:r>
        <w:rPr>
          <w:rFonts w:ascii="Times New Roman" w:cs="Times New Roman" w:eastAsia="Times New Roman" w:hAnsi="Times New Roman"/>
          <w:sz w:val="28"/>
          <w:szCs w:val="28"/>
          <w:color w:val="auto"/>
        </w:rPr>
        <w:t>50 · 0,05 = 2,5 млн. руб.</w:t>
      </w:r>
    </w:p>
    <w:p>
      <w:pPr>
        <w:spacing w:after="0" w:line="309" w:lineRule="exact"/>
        <w:rPr>
          <w:sz w:val="20"/>
          <w:szCs w:val="20"/>
          <w:color w:val="auto"/>
        </w:rPr>
      </w:pPr>
    </w:p>
    <w:p>
      <w:pPr>
        <w:jc w:val="both"/>
        <w:ind w:left="260" w:firstLine="720"/>
        <w:spacing w:after="0" w:line="234" w:lineRule="auto"/>
        <w:rPr>
          <w:sz w:val="20"/>
          <w:szCs w:val="20"/>
          <w:color w:val="auto"/>
        </w:rPr>
      </w:pPr>
      <w:r>
        <w:rPr>
          <w:rFonts w:ascii="Times New Roman" w:cs="Times New Roman" w:eastAsia="Times New Roman" w:hAnsi="Times New Roman"/>
          <w:sz w:val="28"/>
          <w:szCs w:val="28"/>
          <w:color w:val="auto"/>
        </w:rPr>
        <w:t>Метод дисконтированного денежного потока неадекватен оценке предприятия в расчете на владение мелким пакетом его акций , которым фактически является 5% -ный пакет . Следовательно, с полученной величины необходимо произвести скидку за недостаток контроля (25%). Премия за приобретаемый контроль в данной ситуации заведомо не нужна.</w:t>
      </w:r>
    </w:p>
    <w:p>
      <w:pPr>
        <w:spacing w:after="0" w:line="6" w:lineRule="exact"/>
        <w:rPr>
          <w:sz w:val="20"/>
          <w:szCs w:val="20"/>
          <w:color w:val="auto"/>
        </w:rPr>
      </w:pPr>
    </w:p>
    <w:p>
      <w:pPr>
        <w:jc w:val="both"/>
        <w:ind w:left="260" w:right="20" w:firstLine="720"/>
        <w:spacing w:after="0" w:line="235" w:lineRule="auto"/>
        <w:rPr>
          <w:sz w:val="20"/>
          <w:szCs w:val="20"/>
          <w:color w:val="auto"/>
        </w:rPr>
      </w:pPr>
      <w:r>
        <w:rPr>
          <w:rFonts w:ascii="Times New Roman" w:cs="Times New Roman" w:eastAsia="Times New Roman" w:hAnsi="Times New Roman"/>
          <w:sz w:val="28"/>
          <w:szCs w:val="28"/>
          <w:color w:val="auto"/>
        </w:rPr>
        <w:t>Коль скоро оцениваемая компания является закрытым акционерным обществом, ее акции недостаточно ликвидны , так как они не могут быть размещены в листинг фондовых бирж. Значит, следует также сделать скидку на недостаток ликвидности акций (30 %).</w:t>
      </w:r>
    </w:p>
    <w:p>
      <w:pPr>
        <w:jc w:val="both"/>
        <w:ind w:left="260" w:right="20" w:firstLine="722"/>
        <w:spacing w:after="0" w:line="234" w:lineRule="auto"/>
        <w:tabs>
          <w:tab w:leader="none" w:pos="1255" w:val="left"/>
        </w:tabs>
        <w:numPr>
          <w:ilvl w:val="1"/>
          <w:numId w:val="10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силу того, что акции компании - несмотря на то, что она формально (судя по ее регистрации) является закрытым акционерным обществом (ЗАО)</w:t>
      </w:r>
    </w:p>
    <w:p>
      <w:pPr>
        <w:spacing w:after="0" w:line="2" w:lineRule="exact"/>
        <w:rPr>
          <w:rFonts w:ascii="Times New Roman" w:cs="Times New Roman" w:eastAsia="Times New Roman" w:hAnsi="Times New Roman"/>
          <w:sz w:val="28"/>
          <w:szCs w:val="28"/>
          <w:color w:val="auto"/>
        </w:rPr>
      </w:pPr>
    </w:p>
    <w:p>
      <w:pPr>
        <w:jc w:val="both"/>
        <w:ind w:left="260" w:firstLine="2"/>
        <w:spacing w:after="0" w:line="235" w:lineRule="auto"/>
        <w:tabs>
          <w:tab w:leader="none" w:pos="433" w:val="left"/>
        </w:tabs>
        <w:numPr>
          <w:ilvl w:val="0"/>
          <w:numId w:val="10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фактически уже продавались на фондовом (внебиржевом) рынке (частью ее акционеров, которые согласно действующему Закону об акционерных обществах имеют право предложить свои акции к продаже лицам, не являющимся акционерами ЗАО) и таким образом де-факто уже размещены на рынке, скидку, основанную на издержках размещения акций на рынке, можно не делать. Это объясняется, в частности, тем, что в результате ранее имевших место сделок с акциями компании они уже, по-видимому, попали в котировки фондового рынка и появились внебиржевые брокеры, осуществляющие подбор их потенциальных покупателей и продавцов.</w:t>
      </w:r>
    </w:p>
    <w:p>
      <w:pPr>
        <w:ind w:left="98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Окончательная оценка рассматриваемого пакета акций:</w:t>
      </w:r>
    </w:p>
    <w:p>
      <w:pPr>
        <w:spacing w:after="0" w:line="308" w:lineRule="exact"/>
        <w:rPr>
          <w:sz w:val="20"/>
          <w:szCs w:val="20"/>
          <w:color w:val="auto"/>
        </w:rPr>
      </w:pPr>
    </w:p>
    <w:p>
      <w:pPr>
        <w:ind w:left="2120"/>
        <w:spacing w:after="0"/>
        <w:rPr>
          <w:sz w:val="20"/>
          <w:szCs w:val="20"/>
          <w:color w:val="auto"/>
        </w:rPr>
      </w:pPr>
      <w:r>
        <w:rPr>
          <w:rFonts w:ascii="Times New Roman" w:cs="Times New Roman" w:eastAsia="Times New Roman" w:hAnsi="Times New Roman"/>
          <w:sz w:val="28"/>
          <w:szCs w:val="28"/>
          <w:color w:val="auto"/>
        </w:rPr>
        <w:t>2 500 000 · (1 - 0,25) · (1 - 0,30) = 1 312 500 руб.</w:t>
      </w:r>
    </w:p>
    <w:p>
      <w:pPr>
        <w:sectPr>
          <w:pgSz w:w="11900" w:h="16840" w:orient="portrait"/>
          <w:cols w:equalWidth="0" w:num="1">
            <w:col w:w="9620"/>
          </w:cols>
          <w:pgMar w:left="1440" w:top="1106" w:right="844" w:bottom="163" w:gutter="0" w:footer="0" w:header="0"/>
        </w:sectPr>
      </w:pPr>
    </w:p>
    <w:p>
      <w:pPr>
        <w:spacing w:after="0" w:line="222" w:lineRule="exact"/>
        <w:rPr>
          <w:sz w:val="20"/>
          <w:szCs w:val="20"/>
          <w:color w:val="auto"/>
        </w:rPr>
      </w:pPr>
    </w:p>
    <w:p>
      <w:pPr>
        <w:ind w:left="9380"/>
        <w:spacing w:after="0"/>
        <w:rPr>
          <w:sz w:val="20"/>
          <w:szCs w:val="20"/>
          <w:color w:val="auto"/>
        </w:rPr>
      </w:pPr>
      <w:r>
        <w:rPr>
          <w:rFonts w:ascii="Times New Roman" w:cs="Times New Roman" w:eastAsia="Times New Roman" w:hAnsi="Times New Roman"/>
          <w:sz w:val="24"/>
          <w:szCs w:val="24"/>
          <w:color w:val="auto"/>
        </w:rPr>
        <w:t>44</w:t>
      </w:r>
    </w:p>
    <w:p>
      <w:pPr>
        <w:sectPr>
          <w:pgSz w:w="11900" w:h="16840" w:orient="portrait"/>
          <w:cols w:equalWidth="0" w:num="1">
            <w:col w:w="9620"/>
          </w:cols>
          <w:pgMar w:left="1440" w:top="1106" w:right="844" w:bottom="163" w:gutter="0" w:footer="0" w:header="0"/>
          <w:type w:val="continuous"/>
        </w:sectPr>
      </w:pPr>
    </w:p>
    <w:p>
      <w:pPr>
        <w:jc w:val="both"/>
        <w:ind w:left="260" w:right="20" w:firstLine="716"/>
        <w:spacing w:after="0" w:line="238" w:lineRule="auto"/>
        <w:rPr>
          <w:sz w:val="20"/>
          <w:szCs w:val="20"/>
          <w:color w:val="auto"/>
        </w:rPr>
      </w:pPr>
      <w:r>
        <w:rPr>
          <w:rFonts w:ascii="Times New Roman" w:cs="Times New Roman" w:eastAsia="Times New Roman" w:hAnsi="Times New Roman"/>
          <w:sz w:val="28"/>
          <w:szCs w:val="28"/>
          <w:u w:val="single" w:color="auto"/>
          <w:color w:val="auto"/>
        </w:rPr>
        <w:t>Задача</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u w:val="single" w:color="auto"/>
          <w:color w:val="auto"/>
        </w:rPr>
        <w:t>4.2.</w:t>
      </w:r>
      <w:r>
        <w:rPr>
          <w:rFonts w:ascii="Times New Roman" w:cs="Times New Roman" w:eastAsia="Times New Roman" w:hAnsi="Times New Roman"/>
          <w:sz w:val="28"/>
          <w:szCs w:val="28"/>
          <w:color w:val="auto"/>
        </w:rPr>
        <w:t xml:space="preserve"> Нужно оценить стоимость 75%-ного пакета акций закрытого акционерного общества . Обоснованная рыночная стоимость предприятия, определенная методом рынка капитала, составляет 30 млн. руб. Рекомендуемая для использования при необходимости информация относительно характерных для данной отрасли (и компаний схожего размера) скидок (премий), которые могут быть учтены при оценке рассматриваемого пакета акций: скидка за недостаток контроля – 28%; премия за приобретаемый контроль – 37%; скидка за недостаток ликвидности – 31%; скидка, основанная на издержках по размещению акций на рынке – 12%.</w:t>
      </w:r>
    </w:p>
    <w:p>
      <w:pPr>
        <w:spacing w:after="0" w:line="269" w:lineRule="exact"/>
        <w:rPr>
          <w:sz w:val="20"/>
          <w:szCs w:val="20"/>
          <w:color w:val="auto"/>
        </w:rPr>
      </w:pPr>
    </w:p>
    <w:p>
      <w:pPr>
        <w:ind w:left="980"/>
        <w:spacing w:after="0"/>
        <w:rPr>
          <w:sz w:val="20"/>
          <w:szCs w:val="20"/>
          <w:color w:val="auto"/>
        </w:rPr>
      </w:pPr>
      <w:r>
        <w:rPr>
          <w:rFonts w:ascii="Times New Roman" w:cs="Times New Roman" w:eastAsia="Times New Roman" w:hAnsi="Times New Roman"/>
          <w:sz w:val="28"/>
          <w:szCs w:val="28"/>
          <w:u w:val="single" w:color="auto"/>
          <w:color w:val="auto"/>
        </w:rPr>
        <w:t>Решение.</w:t>
      </w:r>
    </w:p>
    <w:p>
      <w:pPr>
        <w:ind w:left="980"/>
        <w:spacing w:after="0"/>
        <w:rPr>
          <w:sz w:val="20"/>
          <w:szCs w:val="20"/>
          <w:color w:val="auto"/>
        </w:rPr>
      </w:pPr>
      <w:r>
        <w:rPr>
          <w:rFonts w:ascii="Times New Roman" w:cs="Times New Roman" w:eastAsia="Times New Roman" w:hAnsi="Times New Roman"/>
          <w:sz w:val="28"/>
          <w:szCs w:val="28"/>
          <w:color w:val="auto"/>
        </w:rPr>
        <w:t>Пропорциональная доля 75% акций в 100% акций предприятия равна:</w:t>
      </w:r>
    </w:p>
    <w:p>
      <w:pPr>
        <w:spacing w:after="0" w:line="308" w:lineRule="exact"/>
        <w:rPr>
          <w:sz w:val="20"/>
          <w:szCs w:val="20"/>
          <w:color w:val="auto"/>
        </w:rPr>
      </w:pPr>
    </w:p>
    <w:p>
      <w:pPr>
        <w:jc w:val="center"/>
        <w:ind w:right="-219"/>
        <w:spacing w:after="0"/>
        <w:rPr>
          <w:sz w:val="20"/>
          <w:szCs w:val="20"/>
          <w:color w:val="auto"/>
        </w:rPr>
      </w:pPr>
      <w:r>
        <w:rPr>
          <w:rFonts w:ascii="Times New Roman" w:cs="Times New Roman" w:eastAsia="Times New Roman" w:hAnsi="Times New Roman"/>
          <w:sz w:val="28"/>
          <w:szCs w:val="28"/>
          <w:color w:val="auto"/>
        </w:rPr>
        <w:t>30 · 0,75 = 22,5 млн. руб.</w:t>
      </w:r>
    </w:p>
    <w:p>
      <w:pPr>
        <w:spacing w:after="0" w:line="309" w:lineRule="exact"/>
        <w:rPr>
          <w:sz w:val="20"/>
          <w:szCs w:val="20"/>
          <w:color w:val="auto"/>
        </w:rPr>
      </w:pPr>
    </w:p>
    <w:p>
      <w:pPr>
        <w:jc w:val="both"/>
        <w:ind w:left="260" w:right="20" w:firstLine="720"/>
        <w:spacing w:after="0" w:line="234" w:lineRule="auto"/>
        <w:rPr>
          <w:sz w:val="20"/>
          <w:szCs w:val="20"/>
          <w:color w:val="auto"/>
        </w:rPr>
      </w:pPr>
      <w:r>
        <w:rPr>
          <w:rFonts w:ascii="Times New Roman" w:cs="Times New Roman" w:eastAsia="Times New Roman" w:hAnsi="Times New Roman"/>
          <w:sz w:val="28"/>
          <w:szCs w:val="28"/>
          <w:color w:val="auto"/>
        </w:rPr>
        <w:t>Метод рынка капитала дает оценку предприятия в представлении мелких акционеров . Следовательно, необходимо к полученной величине добавить премию за приобретаемый контроль (37%).</w:t>
      </w:r>
    </w:p>
    <w:p>
      <w:pPr>
        <w:spacing w:after="0" w:line="4" w:lineRule="exact"/>
        <w:rPr>
          <w:sz w:val="20"/>
          <w:szCs w:val="20"/>
          <w:color w:val="auto"/>
        </w:rPr>
      </w:pPr>
    </w:p>
    <w:p>
      <w:pPr>
        <w:jc w:val="both"/>
        <w:ind w:left="260" w:right="20" w:firstLine="720"/>
        <w:spacing w:after="0" w:line="234" w:lineRule="auto"/>
        <w:rPr>
          <w:sz w:val="20"/>
          <w:szCs w:val="20"/>
          <w:color w:val="auto"/>
        </w:rPr>
      </w:pPr>
      <w:r>
        <w:rPr>
          <w:rFonts w:ascii="Times New Roman" w:cs="Times New Roman" w:eastAsia="Times New Roman" w:hAnsi="Times New Roman"/>
          <w:sz w:val="28"/>
          <w:szCs w:val="28"/>
          <w:color w:val="auto"/>
        </w:rPr>
        <w:t>По той причине, что оцениваемый пакет акций, очевидно,-контрольный, фактор ликвидности акций является несущественным, и скидку за недостаток ликвидности акций делать не следует.</w:t>
      </w:r>
    </w:p>
    <w:p>
      <w:pPr>
        <w:spacing w:after="0" w:line="4" w:lineRule="exact"/>
        <w:rPr>
          <w:sz w:val="20"/>
          <w:szCs w:val="20"/>
          <w:color w:val="auto"/>
        </w:rPr>
      </w:pPr>
    </w:p>
    <w:p>
      <w:pPr>
        <w:jc w:val="both"/>
        <w:ind w:left="260" w:right="20" w:firstLine="720"/>
        <w:spacing w:after="0" w:line="235" w:lineRule="auto"/>
        <w:rPr>
          <w:sz w:val="20"/>
          <w:szCs w:val="20"/>
          <w:color w:val="auto"/>
        </w:rPr>
      </w:pPr>
      <w:r>
        <w:rPr>
          <w:rFonts w:ascii="Times New Roman" w:cs="Times New Roman" w:eastAsia="Times New Roman" w:hAnsi="Times New Roman"/>
          <w:sz w:val="28"/>
          <w:szCs w:val="28"/>
          <w:color w:val="auto"/>
        </w:rPr>
        <w:t>Поскольку акции закрытой компании не только неликвидны, но и не размещены на фондовом рынке (иной информации в условиях задачи не содержится), полагается сделать скидку, основанную на издержках по размещению акций на рынке.</w:t>
      </w:r>
    </w:p>
    <w:p>
      <w:pPr>
        <w:ind w:left="1960" w:right="400" w:hanging="978"/>
        <w:spacing w:after="0" w:line="487" w:lineRule="auto"/>
        <w:tabs>
          <w:tab w:leader="none" w:pos="1240" w:val="left"/>
        </w:tabs>
        <w:numPr>
          <w:ilvl w:val="0"/>
          <w:numId w:val="101"/>
        </w:numPr>
        <w:rPr>
          <w:rFonts w:ascii="Times New Roman" w:cs="Times New Roman" w:eastAsia="Times New Roman" w:hAnsi="Times New Roman"/>
          <w:sz w:val="27"/>
          <w:szCs w:val="27"/>
          <w:color w:val="auto"/>
        </w:rPr>
      </w:pPr>
      <w:r>
        <w:rPr>
          <w:rFonts w:ascii="Times New Roman" w:cs="Times New Roman" w:eastAsia="Times New Roman" w:hAnsi="Times New Roman"/>
          <w:sz w:val="27"/>
          <w:szCs w:val="27"/>
          <w:color w:val="auto"/>
        </w:rPr>
        <w:t>итоге стоимость оцениваемого пакета представит собой величину: 22 500 000 · (1 + 0,37) · (1 - 0,12) = 27 126 000 руб.</w:t>
      </w:r>
    </w:p>
    <w:p>
      <w:pPr>
        <w:spacing w:after="0" w:line="1" w:lineRule="exact"/>
        <w:rPr>
          <w:sz w:val="20"/>
          <w:szCs w:val="20"/>
          <w:color w:val="auto"/>
        </w:rPr>
      </w:pPr>
    </w:p>
    <w:p>
      <w:pPr>
        <w:ind w:left="1780"/>
        <w:spacing w:after="0"/>
        <w:rPr>
          <w:sz w:val="20"/>
          <w:szCs w:val="20"/>
          <w:color w:val="auto"/>
        </w:rPr>
      </w:pPr>
      <w:r>
        <w:rPr>
          <w:rFonts w:ascii="Times New Roman" w:cs="Times New Roman" w:eastAsia="Times New Roman" w:hAnsi="Times New Roman"/>
          <w:sz w:val="28"/>
          <w:szCs w:val="28"/>
          <w:color w:val="auto"/>
        </w:rPr>
        <w:t>ЗАДАЧИ ДЛЯ САМОСТОЯТЕЛЬНОГО РЕШЕНИЯ</w:t>
      </w:r>
    </w:p>
    <w:p>
      <w:pPr>
        <w:spacing w:after="0" w:line="308" w:lineRule="exact"/>
        <w:rPr>
          <w:sz w:val="20"/>
          <w:szCs w:val="20"/>
          <w:color w:val="auto"/>
        </w:rPr>
      </w:pPr>
    </w:p>
    <w:p>
      <w:pPr>
        <w:jc w:val="both"/>
        <w:ind w:left="260" w:firstLine="711"/>
        <w:spacing w:after="0" w:line="235" w:lineRule="auto"/>
        <w:tabs>
          <w:tab w:leader="none" w:pos="1261" w:val="left"/>
        </w:tabs>
        <w:numPr>
          <w:ilvl w:val="1"/>
          <w:numId w:val="10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Определить обоснованную рыночную стоимость пакета акций в 53% от находящихся в обращении акций открытого акционерного общества, которые тем не менее недостаточно ликвидны. Оценочная рыночная стоимость компании, определенная методом рынка капитала, составляет 80 млн. руб. Рекомендуемая для использования при необходимости информация относительно характерных для данной отрасли (и компаний схожего размера) скидок (премий), которые могут быть учтены при оценке рассматриваемого пакета акций: скидка за недостаток контроля – 29%, премия за приобретаемый контроль – 40%, скидка за недостаток ликвидности</w:t>
      </w:r>
    </w:p>
    <w:p>
      <w:pPr>
        <w:ind w:left="260"/>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30%, скидка, основанная на издержках по размещению акций на рынке –</w:t>
      </w:r>
    </w:p>
    <w:p>
      <w:pPr>
        <w:ind w:left="26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16%.</w:t>
      </w:r>
    </w:p>
    <w:p>
      <w:pPr>
        <w:spacing w:after="0" w:line="309" w:lineRule="exact"/>
        <w:rPr>
          <w:rFonts w:ascii="Times New Roman" w:cs="Times New Roman" w:eastAsia="Times New Roman" w:hAnsi="Times New Roman"/>
          <w:sz w:val="28"/>
          <w:szCs w:val="28"/>
          <w:color w:val="auto"/>
        </w:rPr>
      </w:pPr>
    </w:p>
    <w:p>
      <w:pPr>
        <w:jc w:val="both"/>
        <w:ind w:left="260" w:firstLine="711"/>
        <w:spacing w:after="0" w:line="265" w:lineRule="auto"/>
        <w:tabs>
          <w:tab w:leader="none" w:pos="1369" w:val="left"/>
        </w:tabs>
        <w:numPr>
          <w:ilvl w:val="1"/>
          <w:numId w:val="10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Оцените стоимость 4%-ного пакета акций закрытой компании. Обоснованная рыночная стоимость компании, определенная методом</w:t>
      </w:r>
    </w:p>
    <w:p>
      <w:pPr>
        <w:sectPr>
          <w:pgSz w:w="11900" w:h="16840" w:orient="portrait"/>
          <w:cols w:equalWidth="0" w:num="1">
            <w:col w:w="9620"/>
          </w:cols>
          <w:pgMar w:left="1440" w:top="1106" w:right="844" w:bottom="163" w:gutter="0" w:footer="0" w:header="0"/>
        </w:sectPr>
      </w:pPr>
    </w:p>
    <w:p>
      <w:pPr>
        <w:spacing w:after="0" w:line="147" w:lineRule="exact"/>
        <w:rPr>
          <w:sz w:val="20"/>
          <w:szCs w:val="20"/>
          <w:color w:val="auto"/>
        </w:rPr>
      </w:pPr>
    </w:p>
    <w:p>
      <w:pPr>
        <w:ind w:left="9380"/>
        <w:spacing w:after="0"/>
        <w:rPr>
          <w:sz w:val="20"/>
          <w:szCs w:val="20"/>
          <w:color w:val="auto"/>
        </w:rPr>
      </w:pPr>
      <w:r>
        <w:rPr>
          <w:rFonts w:ascii="Times New Roman" w:cs="Times New Roman" w:eastAsia="Times New Roman" w:hAnsi="Times New Roman"/>
          <w:sz w:val="24"/>
          <w:szCs w:val="24"/>
          <w:color w:val="auto"/>
        </w:rPr>
        <w:t>45</w:t>
      </w:r>
    </w:p>
    <w:p>
      <w:pPr>
        <w:sectPr>
          <w:pgSz w:w="11900" w:h="16840" w:orient="portrait"/>
          <w:cols w:equalWidth="0" w:num="1">
            <w:col w:w="9620"/>
          </w:cols>
          <w:pgMar w:left="1440" w:top="1106" w:right="844" w:bottom="163" w:gutter="0" w:footer="0" w:header="0"/>
          <w:type w:val="continuous"/>
        </w:sectPr>
      </w:pPr>
    </w:p>
    <w:p>
      <w:pPr>
        <w:jc w:val="both"/>
        <w:ind w:left="260"/>
        <w:spacing w:after="0" w:line="234" w:lineRule="auto"/>
        <w:rPr>
          <w:sz w:val="20"/>
          <w:szCs w:val="20"/>
          <w:color w:val="auto"/>
        </w:rPr>
      </w:pPr>
      <w:r>
        <w:rPr>
          <w:rFonts w:ascii="Times New Roman" w:cs="Times New Roman" w:eastAsia="Times New Roman" w:hAnsi="Times New Roman"/>
          <w:sz w:val="28"/>
          <w:szCs w:val="28"/>
          <w:color w:val="auto"/>
        </w:rPr>
        <w:t>дисконтированного денежного потока, составляет 600 млн. руб. Рекомендуемая для использования при необходимости информация относительно характерных для данной отрасли (и компаний схожего размера) скидок (премий), которые могут быть учтены при оценке рассматриваемого пакета акций: скидка за недостаток контроля – 27%, премия за приобретаемый контроль – 36%, скидка за недостаток ликвидности</w:t>
      </w:r>
    </w:p>
    <w:p>
      <w:pPr>
        <w:spacing w:after="0" w:line="8" w:lineRule="exact"/>
        <w:rPr>
          <w:sz w:val="20"/>
          <w:szCs w:val="20"/>
          <w:color w:val="auto"/>
        </w:rPr>
      </w:pPr>
    </w:p>
    <w:p>
      <w:pPr>
        <w:jc w:val="both"/>
        <w:ind w:left="260"/>
        <w:spacing w:after="0" w:line="266" w:lineRule="auto"/>
        <w:rPr>
          <w:sz w:val="20"/>
          <w:szCs w:val="20"/>
          <w:color w:val="auto"/>
        </w:rPr>
      </w:pPr>
      <w:r>
        <w:rPr>
          <w:rFonts w:ascii="Times New Roman" w:cs="Times New Roman" w:eastAsia="Times New Roman" w:hAnsi="Times New Roman"/>
          <w:sz w:val="28"/>
          <w:szCs w:val="28"/>
          <w:color w:val="auto"/>
        </w:rPr>
        <w:t>– 28%, скидка, основанная на издержках по размещению акций на рынке – 10%.</w:t>
      </w:r>
    </w:p>
    <w:p>
      <w:pPr>
        <w:spacing w:after="0" w:line="232" w:lineRule="exact"/>
        <w:rPr>
          <w:sz w:val="20"/>
          <w:szCs w:val="20"/>
          <w:color w:val="auto"/>
        </w:rPr>
      </w:pPr>
    </w:p>
    <w:p>
      <w:pPr>
        <w:jc w:val="both"/>
        <w:ind w:left="260" w:firstLine="711"/>
        <w:spacing w:after="0" w:line="235" w:lineRule="auto"/>
        <w:tabs>
          <w:tab w:leader="none" w:pos="1291" w:val="left"/>
        </w:tabs>
        <w:numPr>
          <w:ilvl w:val="1"/>
          <w:numId w:val="10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Оцените стоимость 3%-ного пакета акций открытого акционерного общества, чьи акции регулярно котируются. Однако разница между ценой, по которой их предлагают к продаже, и ценой, по которой их готовы покупать, достигает более 50% цены предложения. Обоснованная рыночная стоимость компании, определенная методом накопления активов (с учетом корректировки кредиторской и дебиторской задолженностей), составляет 60 млн. руб. Рекомендуемая для использования при необходимости информация относительно характерных для данной отрасли (и компаний схожего размера) скидок (премий), которые могут быть учтены при оценке рассматриваемого пакета акций: скидка за недостаток контроля – 27%, премия за приобретаемый контроль – 36%, скидка за недостаток ликвидности</w:t>
      </w:r>
    </w:p>
    <w:p>
      <w:pPr>
        <w:ind w:left="260"/>
        <w:spacing w:after="0" w:line="235"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28%, скидка, основанная на издержках по размещению акций на рынке –</w:t>
      </w:r>
    </w:p>
    <w:p>
      <w:pPr>
        <w:ind w:left="26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10%.</w:t>
      </w:r>
    </w:p>
    <w:p>
      <w:pPr>
        <w:spacing w:after="0" w:line="309" w:lineRule="exact"/>
        <w:rPr>
          <w:rFonts w:ascii="Times New Roman" w:cs="Times New Roman" w:eastAsia="Times New Roman" w:hAnsi="Times New Roman"/>
          <w:sz w:val="28"/>
          <w:szCs w:val="28"/>
          <w:color w:val="auto"/>
        </w:rPr>
      </w:pPr>
    </w:p>
    <w:p>
      <w:pPr>
        <w:jc w:val="both"/>
        <w:ind w:left="260" w:firstLine="711"/>
        <w:spacing w:after="0" w:line="234" w:lineRule="auto"/>
        <w:tabs>
          <w:tab w:leader="none" w:pos="1261" w:val="left"/>
        </w:tabs>
        <w:numPr>
          <w:ilvl w:val="1"/>
          <w:numId w:val="10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Определить обоснованную рыночную стоимость пакета акций в 51% от предназначенных для обращения акций открытого акционерного общества, чьи акции пока не котируются и не торгуются, но уже включены в листинг крупной фондовой биржи. Оценочная рыночная стоимость компании, определенная методом сделок, составляет 40 млн. руб. Рекомендуемая для использования при необходимости информация относительно характерных для данной отрасли (и компаний схожего размера) скидок (премий), которые могут быть учтены при оценке рассматриваемого пакета акций: скидка за недостаток контроля – 27%, премия за приобретаемый контроль – 36%, скидка за недостаток ликвидности</w:t>
      </w:r>
    </w:p>
    <w:p>
      <w:pPr>
        <w:spacing w:after="0" w:line="13" w:lineRule="exact"/>
        <w:rPr>
          <w:rFonts w:ascii="Times New Roman" w:cs="Times New Roman" w:eastAsia="Times New Roman" w:hAnsi="Times New Roman"/>
          <w:sz w:val="28"/>
          <w:szCs w:val="28"/>
          <w:color w:val="auto"/>
        </w:rPr>
      </w:pPr>
    </w:p>
    <w:p>
      <w:pPr>
        <w:ind w:left="260"/>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28%, скидка, основанная на издержках по размещению акций на рынке –</w:t>
      </w:r>
    </w:p>
    <w:p>
      <w:pPr>
        <w:ind w:left="26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10%.</w:t>
      </w:r>
    </w:p>
    <w:p>
      <w:pPr>
        <w:spacing w:after="0" w:line="309" w:lineRule="exact"/>
        <w:rPr>
          <w:rFonts w:ascii="Times New Roman" w:cs="Times New Roman" w:eastAsia="Times New Roman" w:hAnsi="Times New Roman"/>
          <w:sz w:val="28"/>
          <w:szCs w:val="28"/>
          <w:color w:val="auto"/>
        </w:rPr>
      </w:pPr>
    </w:p>
    <w:p>
      <w:pPr>
        <w:jc w:val="both"/>
        <w:ind w:left="260" w:firstLine="722"/>
        <w:spacing w:after="0" w:line="242" w:lineRule="auto"/>
        <w:tabs>
          <w:tab w:leader="none" w:pos="1294" w:val="left"/>
        </w:tabs>
        <w:numPr>
          <w:ilvl w:val="2"/>
          <w:numId w:val="10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Необходимо оценить 21% акций компании с ликвидными акциями. Рыночная стоимость одной акции составляет 102 руб. Количество акций в обращении - 100 000. Премия за приобретаемый контроль - 35%. Скидка за недостаток ликвидности - 26%, скидка, основанная на издержках размещения акций на рынке - 15%.</w:t>
      </w:r>
    </w:p>
    <w:p>
      <w:pPr>
        <w:sectPr>
          <w:pgSz w:w="11900" w:h="16840" w:orient="portrait"/>
          <w:cols w:equalWidth="0" w:num="1">
            <w:col w:w="9620"/>
          </w:cols>
          <w:pgMar w:left="1440" w:top="1106" w:right="844" w:bottom="16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7" w:lineRule="exact"/>
        <w:rPr>
          <w:sz w:val="20"/>
          <w:szCs w:val="20"/>
          <w:color w:val="auto"/>
        </w:rPr>
      </w:pPr>
    </w:p>
    <w:p>
      <w:pPr>
        <w:ind w:left="9380"/>
        <w:spacing w:after="0"/>
        <w:rPr>
          <w:sz w:val="20"/>
          <w:szCs w:val="20"/>
          <w:color w:val="auto"/>
        </w:rPr>
      </w:pPr>
      <w:r>
        <w:rPr>
          <w:rFonts w:ascii="Times New Roman" w:cs="Times New Roman" w:eastAsia="Times New Roman" w:hAnsi="Times New Roman"/>
          <w:sz w:val="24"/>
          <w:szCs w:val="24"/>
          <w:color w:val="auto"/>
        </w:rPr>
        <w:t>46</w:t>
      </w:r>
    </w:p>
    <w:p>
      <w:pPr>
        <w:sectPr>
          <w:pgSz w:w="11900" w:h="16840" w:orient="portrait"/>
          <w:cols w:equalWidth="0" w:num="1">
            <w:col w:w="9620"/>
          </w:cols>
          <w:pgMar w:left="1440" w:top="1106" w:right="844" w:bottom="163" w:gutter="0" w:footer="0" w:header="0"/>
          <w:type w:val="continuous"/>
        </w:sectPr>
      </w:pPr>
    </w:p>
    <w:p>
      <w:pPr>
        <w:ind w:left="1140" w:hanging="358"/>
        <w:spacing w:after="0"/>
        <w:tabs>
          <w:tab w:leader="none" w:pos="1140" w:val="left"/>
        </w:tabs>
        <w:numPr>
          <w:ilvl w:val="0"/>
          <w:numId w:val="10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ОЦЕНКА ЛИКВИДАЦИОННОЙ СТОИМОСТИ ПРЕДПРИЯТИЯ</w:t>
      </w:r>
    </w:p>
    <w:p>
      <w:pPr>
        <w:spacing w:after="0" w:line="322" w:lineRule="exact"/>
        <w:rPr>
          <w:sz w:val="20"/>
          <w:szCs w:val="20"/>
          <w:color w:val="auto"/>
        </w:rPr>
      </w:pPr>
    </w:p>
    <w:p>
      <w:pPr>
        <w:jc w:val="center"/>
        <w:ind w:right="-259"/>
        <w:spacing w:after="0"/>
        <w:rPr>
          <w:sz w:val="20"/>
          <w:szCs w:val="20"/>
          <w:color w:val="auto"/>
        </w:rPr>
      </w:pPr>
      <w:r>
        <w:rPr>
          <w:rFonts w:ascii="Times New Roman" w:cs="Times New Roman" w:eastAsia="Times New Roman" w:hAnsi="Times New Roman"/>
          <w:sz w:val="28"/>
          <w:szCs w:val="28"/>
          <w:color w:val="auto"/>
        </w:rPr>
        <w:t>ДЕМОНСТРАЦИОННЫЕ ЗАДАЧИ</w:t>
      </w:r>
    </w:p>
    <w:p>
      <w:pPr>
        <w:spacing w:after="0" w:line="321" w:lineRule="exact"/>
        <w:rPr>
          <w:sz w:val="20"/>
          <w:szCs w:val="20"/>
          <w:color w:val="auto"/>
        </w:rPr>
      </w:pPr>
    </w:p>
    <w:p>
      <w:pPr>
        <w:jc w:val="both"/>
        <w:ind w:left="280" w:right="20" w:firstLine="709"/>
        <w:spacing w:after="0"/>
        <w:rPr>
          <w:sz w:val="20"/>
          <w:szCs w:val="20"/>
          <w:color w:val="auto"/>
        </w:rPr>
      </w:pPr>
      <w:r>
        <w:rPr>
          <w:rFonts w:ascii="Times New Roman" w:cs="Times New Roman" w:eastAsia="Times New Roman" w:hAnsi="Times New Roman"/>
          <w:sz w:val="28"/>
          <w:szCs w:val="28"/>
          <w:u w:val="single" w:color="auto"/>
          <w:color w:val="auto"/>
        </w:rPr>
        <w:t>Задача</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u w:val="single" w:color="auto"/>
          <w:color w:val="auto"/>
        </w:rPr>
        <w:t>5.1.</w:t>
      </w:r>
      <w:r>
        <w:rPr>
          <w:rFonts w:ascii="Times New Roman" w:cs="Times New Roman" w:eastAsia="Times New Roman" w:hAnsi="Times New Roman"/>
          <w:sz w:val="28"/>
          <w:szCs w:val="28"/>
          <w:color w:val="auto"/>
        </w:rPr>
        <w:t xml:space="preserve"> Какую из приводимых ниже оценок складского запаса готовой продукции необходимо включить в суммарную ликвидационную (в расчете на короткий срок ликвидации) стоимость предприятия?</w:t>
      </w:r>
    </w:p>
    <w:p>
      <w:pPr>
        <w:jc w:val="both"/>
        <w:ind w:left="280" w:firstLine="709"/>
        <w:spacing w:after="0"/>
        <w:rPr>
          <w:sz w:val="20"/>
          <w:szCs w:val="20"/>
          <w:color w:val="auto"/>
        </w:rPr>
      </w:pPr>
      <w:r>
        <w:rPr>
          <w:rFonts w:ascii="Times New Roman" w:cs="Times New Roman" w:eastAsia="Times New Roman" w:hAnsi="Times New Roman"/>
          <w:sz w:val="28"/>
          <w:szCs w:val="28"/>
          <w:color w:val="auto"/>
        </w:rPr>
        <w:t>а) рыночную стоимость, равную 10 000 руб., полученную без учета коэффициента скрытого брака на складе, который составляет 4%, если указанный коэффициент уже учтен при расчете себестоимости продукции;</w:t>
      </w:r>
    </w:p>
    <w:p>
      <w:pPr>
        <w:ind w:left="980"/>
        <w:spacing w:after="0"/>
        <w:rPr>
          <w:sz w:val="20"/>
          <w:szCs w:val="20"/>
          <w:color w:val="auto"/>
        </w:rPr>
      </w:pPr>
      <w:r>
        <w:rPr>
          <w:rFonts w:ascii="Times New Roman" w:cs="Times New Roman" w:eastAsia="Times New Roman" w:hAnsi="Times New Roman"/>
          <w:sz w:val="28"/>
          <w:szCs w:val="28"/>
          <w:color w:val="auto"/>
        </w:rPr>
        <w:t>б) ту же рыночную стоимость, уменьшенную на 4%;</w:t>
      </w:r>
    </w:p>
    <w:p>
      <w:pPr>
        <w:jc w:val="both"/>
        <w:ind w:left="280" w:firstLine="709"/>
        <w:spacing w:after="0"/>
        <w:rPr>
          <w:sz w:val="20"/>
          <w:szCs w:val="20"/>
          <w:color w:val="auto"/>
        </w:rPr>
      </w:pPr>
      <w:r>
        <w:rPr>
          <w:rFonts w:ascii="Times New Roman" w:cs="Times New Roman" w:eastAsia="Times New Roman" w:hAnsi="Times New Roman"/>
          <w:sz w:val="28"/>
          <w:szCs w:val="28"/>
          <w:color w:val="auto"/>
        </w:rPr>
        <w:t>в) ликвидационную стоимость, равную 6 000 руб., полученную без учета коэффициента скрытого брака на складе, который составляет 4%, если указанный коэффициент уже учтен при расчете себестоимости продукции;</w:t>
      </w:r>
    </w:p>
    <w:p>
      <w:pPr>
        <w:ind w:left="980"/>
        <w:spacing w:after="0"/>
        <w:rPr>
          <w:sz w:val="20"/>
          <w:szCs w:val="20"/>
          <w:color w:val="auto"/>
        </w:rPr>
      </w:pPr>
      <w:r>
        <w:rPr>
          <w:rFonts w:ascii="Times New Roman" w:cs="Times New Roman" w:eastAsia="Times New Roman" w:hAnsi="Times New Roman"/>
          <w:sz w:val="28"/>
          <w:szCs w:val="28"/>
          <w:color w:val="auto"/>
        </w:rPr>
        <w:t>в) ту же ликвидационную стоимость, уменьшенную на 4%.</w:t>
      </w:r>
    </w:p>
    <w:p>
      <w:pPr>
        <w:spacing w:after="0" w:line="322" w:lineRule="exact"/>
        <w:rPr>
          <w:sz w:val="20"/>
          <w:szCs w:val="20"/>
          <w:color w:val="auto"/>
        </w:rPr>
      </w:pPr>
    </w:p>
    <w:p>
      <w:pPr>
        <w:ind w:left="980"/>
        <w:spacing w:after="0"/>
        <w:rPr>
          <w:sz w:val="20"/>
          <w:szCs w:val="20"/>
          <w:color w:val="auto"/>
        </w:rPr>
      </w:pPr>
      <w:r>
        <w:rPr>
          <w:rFonts w:ascii="Times New Roman" w:cs="Times New Roman" w:eastAsia="Times New Roman" w:hAnsi="Times New Roman"/>
          <w:sz w:val="28"/>
          <w:szCs w:val="28"/>
          <w:u w:val="single" w:color="auto"/>
          <w:color w:val="auto"/>
        </w:rPr>
        <w:t>Решение.</w:t>
      </w:r>
    </w:p>
    <w:p>
      <w:pPr>
        <w:jc w:val="both"/>
        <w:ind w:left="280" w:right="20" w:firstLine="709"/>
        <w:spacing w:after="0"/>
        <w:rPr>
          <w:sz w:val="20"/>
          <w:szCs w:val="20"/>
          <w:color w:val="auto"/>
        </w:rPr>
      </w:pPr>
      <w:r>
        <w:rPr>
          <w:rFonts w:ascii="Times New Roman" w:cs="Times New Roman" w:eastAsia="Times New Roman" w:hAnsi="Times New Roman"/>
          <w:sz w:val="28"/>
          <w:szCs w:val="28"/>
          <w:color w:val="auto"/>
        </w:rPr>
        <w:t>Во -первых, опираться в расчете надо на возможную выручку при быстрой распродаже складского запаса, т. е. на сумму в 6000 руб.</w:t>
      </w:r>
    </w:p>
    <w:p>
      <w:pPr>
        <w:jc w:val="both"/>
        <w:ind w:left="280" w:right="20" w:firstLine="709"/>
        <w:spacing w:after="0" w:line="239" w:lineRule="auto"/>
        <w:rPr>
          <w:sz w:val="20"/>
          <w:szCs w:val="20"/>
          <w:color w:val="auto"/>
        </w:rPr>
      </w:pPr>
      <w:r>
        <w:rPr>
          <w:rFonts w:ascii="Times New Roman" w:cs="Times New Roman" w:eastAsia="Times New Roman" w:hAnsi="Times New Roman"/>
          <w:sz w:val="28"/>
          <w:szCs w:val="28"/>
          <w:color w:val="auto"/>
        </w:rPr>
        <w:t>Во-вторых, к оценке вероятной выручки от распродажи внутрипроизводственные расчеты себестоимости никакого отношения не имеют. В то же время то обстоятельство, что на складе фактически находится 4% скрытого брака, означает невозможность его продать либо необходимость возвращать деньги при возврате бракованных изделий.</w:t>
      </w:r>
    </w:p>
    <w:p>
      <w:pPr>
        <w:spacing w:after="0" w:line="6" w:lineRule="exact"/>
        <w:rPr>
          <w:sz w:val="20"/>
          <w:szCs w:val="20"/>
          <w:color w:val="auto"/>
        </w:rPr>
      </w:pPr>
    </w:p>
    <w:p>
      <w:pPr>
        <w:jc w:val="both"/>
        <w:ind w:left="280" w:firstLine="709"/>
        <w:spacing w:after="0" w:line="271" w:lineRule="auto"/>
        <w:rPr>
          <w:sz w:val="20"/>
          <w:szCs w:val="20"/>
          <w:color w:val="auto"/>
        </w:rPr>
      </w:pPr>
      <w:r>
        <w:rPr>
          <w:rFonts w:ascii="Times New Roman" w:cs="Times New Roman" w:eastAsia="Times New Roman" w:hAnsi="Times New Roman"/>
          <w:sz w:val="28"/>
          <w:szCs w:val="28"/>
          <w:color w:val="auto"/>
        </w:rPr>
        <w:t>Следовательно, в ликвидационной стоимости предприятия нужно будет учитывать лишь величину, составляющую 6000·(1 - 0,04) = 5760 руб.</w:t>
      </w:r>
    </w:p>
    <w:p>
      <w:pPr>
        <w:spacing w:after="0" w:line="239" w:lineRule="exact"/>
        <w:rPr>
          <w:sz w:val="20"/>
          <w:szCs w:val="20"/>
          <w:color w:val="auto"/>
        </w:rPr>
      </w:pPr>
    </w:p>
    <w:p>
      <w:pPr>
        <w:ind w:left="1780"/>
        <w:spacing w:after="0"/>
        <w:rPr>
          <w:sz w:val="20"/>
          <w:szCs w:val="20"/>
          <w:color w:val="auto"/>
        </w:rPr>
      </w:pPr>
      <w:r>
        <w:rPr>
          <w:rFonts w:ascii="Times New Roman" w:cs="Times New Roman" w:eastAsia="Times New Roman" w:hAnsi="Times New Roman"/>
          <w:sz w:val="28"/>
          <w:szCs w:val="28"/>
          <w:color w:val="auto"/>
        </w:rPr>
        <w:t>ЗАДАЧИ ДЛЯ САМОСТОЯТЕЛЬНОГО РЕШЕНИЯ</w:t>
      </w:r>
    </w:p>
    <w:p>
      <w:pPr>
        <w:spacing w:after="0" w:line="322" w:lineRule="exact"/>
        <w:rPr>
          <w:sz w:val="20"/>
          <w:szCs w:val="20"/>
          <w:color w:val="auto"/>
        </w:rPr>
      </w:pPr>
    </w:p>
    <w:p>
      <w:pPr>
        <w:ind w:left="260" w:firstLine="711"/>
        <w:spacing w:after="0" w:line="247" w:lineRule="auto"/>
        <w:tabs>
          <w:tab w:leader="none" w:pos="1348" w:val="left"/>
        </w:tabs>
        <w:numPr>
          <w:ilvl w:val="0"/>
          <w:numId w:val="10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Оценить стоимость ликвидируемого предприятия, если известно следующее:</w:t>
      </w:r>
    </w:p>
    <w:p>
      <w:pPr>
        <w:spacing w:after="0" w:line="2" w:lineRule="exact"/>
        <w:rPr>
          <w:rFonts w:ascii="Times New Roman" w:cs="Times New Roman" w:eastAsia="Times New Roman" w:hAnsi="Times New Roman"/>
          <w:sz w:val="28"/>
          <w:szCs w:val="28"/>
          <w:color w:val="auto"/>
        </w:rPr>
      </w:pPr>
    </w:p>
    <w:p>
      <w:pPr>
        <w:jc w:val="both"/>
        <w:ind w:left="260" w:firstLine="709"/>
        <w:spacing w:after="0" w:line="239" w:lineRule="auto"/>
        <w:rPr>
          <w:rFonts w:ascii="Times New Roman" w:cs="Times New Roman" w:eastAsia="Times New Roman" w:hAnsi="Times New Roman"/>
          <w:sz w:val="28"/>
          <w:szCs w:val="28"/>
          <w:color w:val="auto"/>
        </w:rPr>
      </w:pPr>
      <w:r>
        <w:rPr>
          <w:rFonts w:ascii="Symbol" w:cs="Symbol" w:eastAsia="Symbol" w:hAnsi="Symbol"/>
          <w:sz w:val="28"/>
          <w:szCs w:val="28"/>
          <w:color w:val="auto"/>
        </w:rPr>
        <w:t></w:t>
      </w:r>
      <w:r>
        <w:rPr>
          <w:rFonts w:ascii="Times New Roman" w:cs="Times New Roman" w:eastAsia="Times New Roman" w:hAnsi="Times New Roman"/>
          <w:sz w:val="28"/>
          <w:szCs w:val="28"/>
          <w:color w:val="auto"/>
        </w:rPr>
        <w:t xml:space="preserve"> планируемый срок ликвидации - 1 год (через год ожидается резкое ухудшение конъюнктуры для предприятия, например снижение рыночной цены продукции в результате усиливающейся конкуренции);</w:t>
      </w:r>
    </w:p>
    <w:p>
      <w:pPr>
        <w:spacing w:after="0" w:line="2" w:lineRule="exact"/>
        <w:rPr>
          <w:rFonts w:ascii="Times New Roman" w:cs="Times New Roman" w:eastAsia="Times New Roman" w:hAnsi="Times New Roman"/>
          <w:sz w:val="28"/>
          <w:szCs w:val="28"/>
          <w:color w:val="auto"/>
        </w:rPr>
      </w:pPr>
    </w:p>
    <w:p>
      <w:pPr>
        <w:jc w:val="both"/>
        <w:ind w:left="260" w:firstLine="709"/>
        <w:spacing w:after="0" w:line="239" w:lineRule="auto"/>
        <w:rPr>
          <w:rFonts w:ascii="Times New Roman" w:cs="Times New Roman" w:eastAsia="Times New Roman" w:hAnsi="Times New Roman"/>
          <w:sz w:val="28"/>
          <w:szCs w:val="28"/>
          <w:color w:val="auto"/>
        </w:rPr>
      </w:pPr>
      <w:r>
        <w:rPr>
          <w:rFonts w:ascii="Symbol" w:cs="Symbol" w:eastAsia="Symbol" w:hAnsi="Symbol"/>
          <w:sz w:val="28"/>
          <w:szCs w:val="28"/>
          <w:color w:val="auto"/>
        </w:rPr>
        <w:t></w:t>
      </w:r>
      <w:r>
        <w:rPr>
          <w:rFonts w:ascii="Times New Roman" w:cs="Times New Roman" w:eastAsia="Times New Roman" w:hAnsi="Times New Roman"/>
          <w:sz w:val="28"/>
          <w:szCs w:val="28"/>
          <w:color w:val="auto"/>
        </w:rPr>
        <w:t xml:space="preserve"> активы предприятия являются реальными (не финансовыми) и делятся на: высоколиквидные, которые по их рыночной стоимости можно реализовать за срок до одного месяца; среднеликвидные, которые по их оценочной стоимости можно продать за срок до трех месяцев; малоликвидные, стоимость которых оценена как восстановительная стоимость; неликвидные, которые реализовать невозможно (если это специальные технологические</w:t>
      </w:r>
    </w:p>
    <w:p>
      <w:pPr>
        <w:spacing w:after="0" w:line="8" w:lineRule="exact"/>
        <w:rPr>
          <w:rFonts w:ascii="Times New Roman" w:cs="Times New Roman" w:eastAsia="Times New Roman" w:hAnsi="Times New Roman"/>
          <w:sz w:val="28"/>
          <w:szCs w:val="28"/>
          <w:color w:val="auto"/>
        </w:rPr>
      </w:pPr>
    </w:p>
    <w:p>
      <w:pPr>
        <w:ind w:left="260" w:firstLine="709"/>
        <w:spacing w:after="0" w:line="239" w:lineRule="auto"/>
        <w:rPr>
          <w:rFonts w:ascii="Times New Roman" w:cs="Times New Roman" w:eastAsia="Times New Roman" w:hAnsi="Times New Roman"/>
          <w:sz w:val="28"/>
          <w:szCs w:val="28"/>
          <w:color w:val="auto"/>
        </w:rPr>
      </w:pPr>
      <w:r>
        <w:rPr>
          <w:rFonts w:ascii="Symbol" w:cs="Symbol" w:eastAsia="Symbol" w:hAnsi="Symbol"/>
          <w:sz w:val="28"/>
          <w:szCs w:val="28"/>
          <w:color w:val="auto"/>
        </w:rPr>
        <w:t></w:t>
      </w:r>
      <w:r>
        <w:rPr>
          <w:rFonts w:ascii="Times New Roman" w:cs="Times New Roman" w:eastAsia="Times New Roman" w:hAnsi="Times New Roman"/>
          <w:sz w:val="28"/>
          <w:szCs w:val="28"/>
          <w:color w:val="auto"/>
        </w:rPr>
        <w:t xml:space="preserve"> оборудование и оснастка, то их можно реализовать по цене лома за вычетом расходов на утилизацию);</w:t>
      </w:r>
    </w:p>
    <w:p>
      <w:pPr>
        <w:spacing w:after="0" w:line="2" w:lineRule="exact"/>
        <w:rPr>
          <w:rFonts w:ascii="Times New Roman" w:cs="Times New Roman" w:eastAsia="Times New Roman" w:hAnsi="Times New Roman"/>
          <w:sz w:val="28"/>
          <w:szCs w:val="28"/>
          <w:color w:val="auto"/>
        </w:rPr>
      </w:pPr>
    </w:p>
    <w:p>
      <w:pPr>
        <w:jc w:val="both"/>
        <w:ind w:left="260" w:firstLine="709"/>
        <w:spacing w:after="0" w:line="255" w:lineRule="auto"/>
        <w:rPr>
          <w:rFonts w:ascii="Times New Roman" w:cs="Times New Roman" w:eastAsia="Times New Roman" w:hAnsi="Times New Roman"/>
          <w:sz w:val="28"/>
          <w:szCs w:val="28"/>
          <w:color w:val="auto"/>
        </w:rPr>
      </w:pPr>
      <w:r>
        <w:rPr>
          <w:rFonts w:ascii="Symbol" w:cs="Symbol" w:eastAsia="Symbol" w:hAnsi="Symbol"/>
          <w:sz w:val="28"/>
          <w:szCs w:val="28"/>
          <w:color w:val="auto"/>
        </w:rPr>
        <w:t></w:t>
      </w:r>
      <w:r>
        <w:rPr>
          <w:rFonts w:ascii="Times New Roman" w:cs="Times New Roman" w:eastAsia="Times New Roman" w:hAnsi="Times New Roman"/>
          <w:sz w:val="28"/>
          <w:szCs w:val="28"/>
          <w:color w:val="auto"/>
        </w:rPr>
        <w:t xml:space="preserve"> стоимость высоколиквидных активов - 380 тыс. руб.; стоимость среднеликвидных активов - 1240 тыс. руб.; стоимость малоликвидных</w:t>
      </w:r>
    </w:p>
    <w:p>
      <w:pPr>
        <w:sectPr>
          <w:pgSz w:w="11900" w:h="16840" w:orient="portrait"/>
          <w:cols w:equalWidth="0" w:num="1">
            <w:col w:w="9620"/>
          </w:cols>
          <w:pgMar w:left="1440" w:top="1112" w:right="844" w:bottom="163" w:gutter="0" w:footer="0" w:header="0"/>
        </w:sectPr>
      </w:pPr>
    </w:p>
    <w:p>
      <w:pPr>
        <w:spacing w:after="0" w:line="91" w:lineRule="exact"/>
        <w:rPr>
          <w:sz w:val="20"/>
          <w:szCs w:val="20"/>
          <w:color w:val="auto"/>
        </w:rPr>
      </w:pPr>
    </w:p>
    <w:p>
      <w:pPr>
        <w:ind w:left="9380"/>
        <w:spacing w:after="0"/>
        <w:rPr>
          <w:sz w:val="20"/>
          <w:szCs w:val="20"/>
          <w:color w:val="auto"/>
        </w:rPr>
      </w:pPr>
      <w:r>
        <w:rPr>
          <w:rFonts w:ascii="Times New Roman" w:cs="Times New Roman" w:eastAsia="Times New Roman" w:hAnsi="Times New Roman"/>
          <w:sz w:val="24"/>
          <w:szCs w:val="24"/>
          <w:color w:val="auto"/>
        </w:rPr>
        <w:t>47</w:t>
      </w:r>
    </w:p>
    <w:p>
      <w:pPr>
        <w:sectPr>
          <w:pgSz w:w="11900" w:h="16840" w:orient="portrait"/>
          <w:cols w:equalWidth="0" w:num="1">
            <w:col w:w="9620"/>
          </w:cols>
          <w:pgMar w:left="1440" w:top="1112" w:right="844" w:bottom="163" w:gutter="0" w:footer="0" w:header="0"/>
          <w:type w:val="continuous"/>
        </w:sectPr>
      </w:pPr>
    </w:p>
    <w:p>
      <w:pPr>
        <w:ind w:left="260"/>
        <w:spacing w:after="0"/>
        <w:rPr>
          <w:sz w:val="20"/>
          <w:szCs w:val="20"/>
          <w:color w:val="auto"/>
        </w:rPr>
      </w:pPr>
      <w:r>
        <w:rPr>
          <w:rFonts w:ascii="Times New Roman" w:cs="Times New Roman" w:eastAsia="Times New Roman" w:hAnsi="Times New Roman"/>
          <w:sz w:val="28"/>
          <w:szCs w:val="28"/>
          <w:color w:val="auto"/>
        </w:rPr>
        <w:t>активов - 700 тыс. руб.; стоимость неликвидных активов - 1840 тыс. руб.;</w:t>
      </w:r>
    </w:p>
    <w:p>
      <w:pPr>
        <w:spacing w:after="0" w:line="20" w:lineRule="exact"/>
        <w:rPr>
          <w:sz w:val="20"/>
          <w:szCs w:val="20"/>
          <w:color w:val="auto"/>
        </w:rPr>
      </w:pPr>
    </w:p>
    <w:p>
      <w:pPr>
        <w:jc w:val="both"/>
        <w:ind w:left="260" w:firstLine="711"/>
        <w:spacing w:after="0" w:line="239" w:lineRule="auto"/>
        <w:tabs>
          <w:tab w:leader="none" w:pos="1329" w:val="left"/>
        </w:tabs>
        <w:numPr>
          <w:ilvl w:val="0"/>
          <w:numId w:val="106"/>
        </w:numPr>
        <w:rPr>
          <w:rFonts w:ascii="Symbol" w:cs="Symbol" w:eastAsia="Symbol" w:hAnsi="Symbol"/>
          <w:sz w:val="28"/>
          <w:szCs w:val="28"/>
          <w:color w:val="auto"/>
        </w:rPr>
      </w:pPr>
      <w:r>
        <w:rPr>
          <w:rFonts w:ascii="Times New Roman" w:cs="Times New Roman" w:eastAsia="Times New Roman" w:hAnsi="Times New Roman"/>
          <w:sz w:val="28"/>
          <w:szCs w:val="28"/>
          <w:color w:val="auto"/>
        </w:rPr>
        <w:t>вес неликвидных специальных технологических оборудования и оснастки составляет 100 тонн; цена металлического лома составляет 70 тыс. руб. за тонну; расходы на утилизацию одной тонны специальных технологических оборудования и оснастки предприятия 65 000 руб.</w:t>
      </w:r>
    </w:p>
    <w:p>
      <w:pPr>
        <w:spacing w:after="0" w:line="4" w:lineRule="exact"/>
        <w:rPr>
          <w:rFonts w:ascii="Symbol" w:cs="Symbol" w:eastAsia="Symbol" w:hAnsi="Symbol"/>
          <w:sz w:val="28"/>
          <w:szCs w:val="28"/>
          <w:color w:val="auto"/>
        </w:rPr>
      </w:pPr>
    </w:p>
    <w:p>
      <w:pPr>
        <w:jc w:val="both"/>
        <w:ind w:left="260" w:firstLine="711"/>
        <w:spacing w:after="0" w:line="239" w:lineRule="auto"/>
        <w:tabs>
          <w:tab w:leader="none" w:pos="1329" w:val="left"/>
        </w:tabs>
        <w:numPr>
          <w:ilvl w:val="0"/>
          <w:numId w:val="106"/>
        </w:numPr>
        <w:rPr>
          <w:rFonts w:ascii="Symbol" w:cs="Symbol" w:eastAsia="Symbol" w:hAnsi="Symbol"/>
          <w:sz w:val="28"/>
          <w:szCs w:val="28"/>
          <w:color w:val="auto"/>
        </w:rPr>
      </w:pPr>
      <w:r>
        <w:rPr>
          <w:rFonts w:ascii="Times New Roman" w:cs="Times New Roman" w:eastAsia="Times New Roman" w:hAnsi="Times New Roman"/>
          <w:sz w:val="28"/>
          <w:szCs w:val="28"/>
          <w:color w:val="auto"/>
        </w:rPr>
        <w:t>дебиторская задолженность предприятия (не включенная в характеризовавшиеся выше активы) составляет 750 тыс. руб., из них 200 тыс. руб. - просроченная задолженность; дебиторская задолженность со сроком истечения в пределах года - 440 тыс. руб., в том числе: со сроком истечения через три месяца - 90 тыс. руб., со сроком истечения через девять месяцев - 350 тыс. руб.; средний рыночный дисконт по долгам дебиторов с сопоставимыми сроками погашения (с учетом издержек трансакций) - 40 %;</w:t>
      </w:r>
    </w:p>
    <w:p>
      <w:pPr>
        <w:spacing w:after="0" w:line="8" w:lineRule="exact"/>
        <w:rPr>
          <w:rFonts w:ascii="Symbol" w:cs="Symbol" w:eastAsia="Symbol" w:hAnsi="Symbol"/>
          <w:sz w:val="28"/>
          <w:szCs w:val="28"/>
          <w:color w:val="auto"/>
        </w:rPr>
      </w:pPr>
    </w:p>
    <w:p>
      <w:pPr>
        <w:jc w:val="both"/>
        <w:ind w:left="260" w:firstLine="711"/>
        <w:spacing w:after="0" w:line="239" w:lineRule="auto"/>
        <w:tabs>
          <w:tab w:leader="none" w:pos="1329" w:val="left"/>
        </w:tabs>
        <w:numPr>
          <w:ilvl w:val="0"/>
          <w:numId w:val="106"/>
        </w:numPr>
        <w:rPr>
          <w:rFonts w:ascii="Symbol" w:cs="Symbol" w:eastAsia="Symbol" w:hAnsi="Symbol"/>
          <w:sz w:val="28"/>
          <w:szCs w:val="28"/>
          <w:color w:val="auto"/>
        </w:rPr>
      </w:pPr>
      <w:r>
        <w:rPr>
          <w:rFonts w:ascii="Times New Roman" w:cs="Times New Roman" w:eastAsia="Times New Roman" w:hAnsi="Times New Roman"/>
          <w:sz w:val="28"/>
          <w:szCs w:val="28"/>
          <w:color w:val="auto"/>
        </w:rPr>
        <w:t>производственная мощность предприятия при обеспеченном спросе на его продукцию, если она сбывается по сложившейся рыночной цене, позволяет выпускать 240 000 единиц продукции в месяц в случае использования всех наличных производственных активов предприятия (избыточные активы на предприятии отсутствуют); более низкие уровни производственной мощности достижимы при пропорциональном сокращении всех производственных активов на одну треть и две трети (в этих случаях производственная мощность составит соответственно 160000 и 80000 единиц продукции; промежуточные уровни производственной мощности невозможны вследствие наличия на предприятии только трех основных технологических агрегатов;</w:t>
      </w:r>
    </w:p>
    <w:p>
      <w:pPr>
        <w:spacing w:after="0" w:line="13" w:lineRule="exact"/>
        <w:rPr>
          <w:rFonts w:ascii="Symbol" w:cs="Symbol" w:eastAsia="Symbol" w:hAnsi="Symbol"/>
          <w:sz w:val="28"/>
          <w:szCs w:val="28"/>
          <w:color w:val="auto"/>
        </w:rPr>
      </w:pPr>
    </w:p>
    <w:p>
      <w:pPr>
        <w:jc w:val="both"/>
        <w:ind w:left="260" w:firstLine="711"/>
        <w:spacing w:after="0" w:line="239" w:lineRule="auto"/>
        <w:tabs>
          <w:tab w:leader="none" w:pos="1329" w:val="left"/>
        </w:tabs>
        <w:numPr>
          <w:ilvl w:val="0"/>
          <w:numId w:val="106"/>
        </w:numPr>
        <w:rPr>
          <w:rFonts w:ascii="Symbol" w:cs="Symbol" w:eastAsia="Symbol" w:hAnsi="Symbol"/>
          <w:sz w:val="28"/>
          <w:szCs w:val="28"/>
          <w:color w:val="auto"/>
        </w:rPr>
      </w:pPr>
      <w:r>
        <w:rPr>
          <w:rFonts w:ascii="Times New Roman" w:cs="Times New Roman" w:eastAsia="Times New Roman" w:hAnsi="Times New Roman"/>
          <w:sz w:val="28"/>
          <w:szCs w:val="28"/>
          <w:color w:val="auto"/>
        </w:rPr>
        <w:t>удельные переменные издержки на единицу продукции - 80 руб.; условно-постоянные издержки: 590 000 руб. при производственной мощности в 240 и 160 тыс. единиц продукции, 310 000 руб. при производственной мощности при производственной мощности в 80 тыс. единиц продукции, 65 000 руб. при остановке неликвидированного предприятия;</w:t>
      </w:r>
    </w:p>
    <w:p>
      <w:pPr>
        <w:spacing w:after="0" w:line="7" w:lineRule="exact"/>
        <w:rPr>
          <w:rFonts w:ascii="Symbol" w:cs="Symbol" w:eastAsia="Symbol" w:hAnsi="Symbol"/>
          <w:sz w:val="28"/>
          <w:szCs w:val="28"/>
          <w:color w:val="auto"/>
        </w:rPr>
      </w:pPr>
    </w:p>
    <w:p>
      <w:pPr>
        <w:ind w:left="260" w:firstLine="711"/>
        <w:spacing w:after="0" w:line="239" w:lineRule="auto"/>
        <w:tabs>
          <w:tab w:leader="none" w:pos="1329" w:val="left"/>
        </w:tabs>
        <w:numPr>
          <w:ilvl w:val="0"/>
          <w:numId w:val="106"/>
        </w:numPr>
        <w:rPr>
          <w:rFonts w:ascii="Symbol" w:cs="Symbol" w:eastAsia="Symbol" w:hAnsi="Symbol"/>
          <w:sz w:val="28"/>
          <w:szCs w:val="28"/>
          <w:color w:val="auto"/>
        </w:rPr>
      </w:pPr>
      <w:r>
        <w:rPr>
          <w:rFonts w:ascii="Times New Roman" w:cs="Times New Roman" w:eastAsia="Times New Roman" w:hAnsi="Times New Roman"/>
          <w:sz w:val="28"/>
          <w:szCs w:val="28"/>
          <w:color w:val="auto"/>
        </w:rPr>
        <w:t>рыночная цена выпускаемой продукции - 83 руб. за единицу продукции;</w:t>
      </w:r>
    </w:p>
    <w:p>
      <w:pPr>
        <w:spacing w:after="0" w:line="1" w:lineRule="exact"/>
        <w:rPr>
          <w:rFonts w:ascii="Symbol" w:cs="Symbol" w:eastAsia="Symbol" w:hAnsi="Symbol"/>
          <w:sz w:val="28"/>
          <w:szCs w:val="28"/>
          <w:color w:val="auto"/>
        </w:rPr>
      </w:pPr>
    </w:p>
    <w:p>
      <w:pPr>
        <w:jc w:val="both"/>
        <w:ind w:left="260" w:firstLine="711"/>
        <w:spacing w:after="0" w:line="239" w:lineRule="auto"/>
        <w:tabs>
          <w:tab w:leader="none" w:pos="1329" w:val="left"/>
        </w:tabs>
        <w:numPr>
          <w:ilvl w:val="0"/>
          <w:numId w:val="106"/>
        </w:numPr>
        <w:rPr>
          <w:rFonts w:ascii="Symbol" w:cs="Symbol" w:eastAsia="Symbol" w:hAnsi="Symbol"/>
          <w:sz w:val="28"/>
          <w:szCs w:val="28"/>
          <w:color w:val="auto"/>
        </w:rPr>
      </w:pPr>
      <w:r>
        <w:rPr>
          <w:rFonts w:ascii="Times New Roman" w:cs="Times New Roman" w:eastAsia="Times New Roman" w:hAnsi="Times New Roman"/>
          <w:sz w:val="28"/>
          <w:szCs w:val="28"/>
          <w:color w:val="auto"/>
        </w:rPr>
        <w:t>кредиторская задолженность предприятия - 600 тыс. руб. со сроком истечения в конце первого квартала года; процентная ставка по ней - 21 % годовых; продолжение выпуска продукции обусловливает необходимость взятия нового кредита сроком на шесть месяцев по кредитной ставке в 19% годовых; величина указанного кредита зависит от планируемого на оставшуюся часть года объема выпуска, так что удельная потребность в заемных средствах в расчете на единицу продукции равна 7 руб.;</w:t>
      </w:r>
    </w:p>
    <w:p>
      <w:pPr>
        <w:spacing w:after="0" w:line="8" w:lineRule="exact"/>
        <w:rPr>
          <w:rFonts w:ascii="Symbol" w:cs="Symbol" w:eastAsia="Symbol" w:hAnsi="Symbol"/>
          <w:sz w:val="28"/>
          <w:szCs w:val="28"/>
          <w:color w:val="auto"/>
        </w:rPr>
      </w:pPr>
    </w:p>
    <w:p>
      <w:pPr>
        <w:ind w:left="260" w:firstLine="711"/>
        <w:spacing w:after="0" w:line="239" w:lineRule="auto"/>
        <w:tabs>
          <w:tab w:leader="none" w:pos="1329" w:val="left"/>
        </w:tabs>
        <w:numPr>
          <w:ilvl w:val="0"/>
          <w:numId w:val="106"/>
        </w:numPr>
        <w:rPr>
          <w:rFonts w:ascii="Symbol" w:cs="Symbol" w:eastAsia="Symbol" w:hAnsi="Symbol"/>
          <w:sz w:val="28"/>
          <w:szCs w:val="28"/>
          <w:color w:val="auto"/>
        </w:rPr>
      </w:pPr>
      <w:r>
        <w:rPr>
          <w:rFonts w:ascii="Times New Roman" w:cs="Times New Roman" w:eastAsia="Times New Roman" w:hAnsi="Times New Roman"/>
          <w:sz w:val="28"/>
          <w:szCs w:val="28"/>
          <w:color w:val="auto"/>
        </w:rPr>
        <w:t>ставка налога на прибыль - 24 %; прочие налоговые платежи учтены при расчете переменных и постоянных издержек;</w:t>
      </w:r>
    </w:p>
    <w:p>
      <w:pPr>
        <w:spacing w:after="0" w:line="2" w:lineRule="exact"/>
        <w:rPr>
          <w:rFonts w:ascii="Symbol" w:cs="Symbol" w:eastAsia="Symbol" w:hAnsi="Symbol"/>
          <w:sz w:val="28"/>
          <w:szCs w:val="28"/>
          <w:color w:val="auto"/>
        </w:rPr>
      </w:pPr>
    </w:p>
    <w:p>
      <w:pPr>
        <w:ind w:left="260" w:firstLine="711"/>
        <w:spacing w:after="0" w:line="255" w:lineRule="auto"/>
        <w:tabs>
          <w:tab w:leader="none" w:pos="1329" w:val="left"/>
        </w:tabs>
        <w:numPr>
          <w:ilvl w:val="0"/>
          <w:numId w:val="106"/>
        </w:numPr>
        <w:rPr>
          <w:rFonts w:ascii="Symbol" w:cs="Symbol" w:eastAsia="Symbol" w:hAnsi="Symbol"/>
          <w:sz w:val="28"/>
          <w:szCs w:val="28"/>
          <w:color w:val="auto"/>
        </w:rPr>
      </w:pPr>
      <w:r>
        <w:rPr>
          <w:rFonts w:ascii="Times New Roman" w:cs="Times New Roman" w:eastAsia="Times New Roman" w:hAnsi="Times New Roman"/>
          <w:sz w:val="28"/>
          <w:szCs w:val="28"/>
          <w:color w:val="auto"/>
        </w:rPr>
        <w:t>безрисковая ставка - 16%, среднерыночная доходность на фондовом рынке - 22%, коэффициент «бета» для отрасли предприятия - 1,9.</w:t>
      </w:r>
    </w:p>
    <w:p>
      <w:pPr>
        <w:sectPr>
          <w:pgSz w:w="11900" w:h="16840" w:orient="portrait"/>
          <w:cols w:equalWidth="0" w:num="1">
            <w:col w:w="9620"/>
          </w:cols>
          <w:pgMar w:left="1440" w:top="1112" w:right="844" w:bottom="16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7" w:lineRule="exact"/>
        <w:rPr>
          <w:sz w:val="20"/>
          <w:szCs w:val="20"/>
          <w:color w:val="auto"/>
        </w:rPr>
      </w:pPr>
    </w:p>
    <w:p>
      <w:pPr>
        <w:ind w:left="9380"/>
        <w:spacing w:after="0"/>
        <w:rPr>
          <w:sz w:val="20"/>
          <w:szCs w:val="20"/>
          <w:color w:val="auto"/>
        </w:rPr>
      </w:pPr>
      <w:r>
        <w:rPr>
          <w:rFonts w:ascii="Times New Roman" w:cs="Times New Roman" w:eastAsia="Times New Roman" w:hAnsi="Times New Roman"/>
          <w:sz w:val="24"/>
          <w:szCs w:val="24"/>
          <w:color w:val="auto"/>
        </w:rPr>
        <w:t>48</w:t>
      </w:r>
    </w:p>
    <w:p>
      <w:pPr>
        <w:sectPr>
          <w:pgSz w:w="11900" w:h="16840" w:orient="portrait"/>
          <w:cols w:equalWidth="0" w:num="1">
            <w:col w:w="9620"/>
          </w:cols>
          <w:pgMar w:left="1440" w:top="1112" w:right="844" w:bottom="163" w:gutter="0" w:footer="0" w:header="0"/>
          <w:type w:val="continuous"/>
        </w:sectPr>
      </w:pPr>
    </w:p>
    <w:p>
      <w:pPr>
        <w:jc w:val="both"/>
        <w:ind w:left="760" w:right="400" w:hanging="100"/>
        <w:spacing w:after="0" w:line="289" w:lineRule="auto"/>
        <w:tabs>
          <w:tab w:leader="none" w:pos="1030" w:val="left"/>
        </w:tabs>
        <w:numPr>
          <w:ilvl w:val="0"/>
          <w:numId w:val="107"/>
        </w:numPr>
        <w:rPr>
          <w:rFonts w:ascii="Times New Roman" w:cs="Times New Roman" w:eastAsia="Times New Roman" w:hAnsi="Times New Roman"/>
          <w:sz w:val="27"/>
          <w:szCs w:val="27"/>
          <w:color w:val="auto"/>
        </w:rPr>
      </w:pPr>
      <w:r>
        <w:rPr>
          <w:rFonts w:ascii="Times New Roman" w:cs="Times New Roman" w:eastAsia="Times New Roman" w:hAnsi="Times New Roman"/>
          <w:sz w:val="27"/>
          <w:szCs w:val="27"/>
          <w:color w:val="auto"/>
        </w:rPr>
        <w:t>МЕТОДЫ ОЦЕНКИ И УПРАВЛЕНИЯ СТОИМОСТЬЮ БИЗНЕСА, ОСНОВАННЫЕ НА КОНЦЕПЦИИ ЭКОНОМИЧЕСКОЙ ПРИБЫЛИ</w:t>
      </w:r>
    </w:p>
    <w:p>
      <w:pPr>
        <w:spacing w:after="0" w:line="218" w:lineRule="exact"/>
        <w:rPr>
          <w:sz w:val="20"/>
          <w:szCs w:val="20"/>
          <w:color w:val="auto"/>
        </w:rPr>
      </w:pPr>
    </w:p>
    <w:p>
      <w:pPr>
        <w:jc w:val="center"/>
        <w:ind w:right="-259"/>
        <w:spacing w:after="0"/>
        <w:rPr>
          <w:sz w:val="20"/>
          <w:szCs w:val="20"/>
          <w:color w:val="auto"/>
        </w:rPr>
      </w:pPr>
      <w:r>
        <w:rPr>
          <w:rFonts w:ascii="Times New Roman" w:cs="Times New Roman" w:eastAsia="Times New Roman" w:hAnsi="Times New Roman"/>
          <w:sz w:val="28"/>
          <w:szCs w:val="28"/>
          <w:color w:val="auto"/>
        </w:rPr>
        <w:t>ДЕМОНСТРАЦИОННЫЕ ЗАДАЧИ</w:t>
      </w:r>
    </w:p>
    <w:p>
      <w:pPr>
        <w:spacing w:after="0" w:line="322" w:lineRule="exact"/>
        <w:rPr>
          <w:sz w:val="20"/>
          <w:szCs w:val="20"/>
          <w:color w:val="auto"/>
        </w:rPr>
      </w:pPr>
    </w:p>
    <w:p>
      <w:pPr>
        <w:jc w:val="both"/>
        <w:ind w:left="260" w:firstLine="720"/>
        <w:spacing w:after="0" w:line="239" w:lineRule="auto"/>
        <w:rPr>
          <w:sz w:val="20"/>
          <w:szCs w:val="20"/>
          <w:color w:val="auto"/>
        </w:rPr>
      </w:pPr>
      <w:r>
        <w:rPr>
          <w:rFonts w:ascii="Times New Roman" w:cs="Times New Roman" w:eastAsia="Times New Roman" w:hAnsi="Times New Roman"/>
          <w:sz w:val="28"/>
          <w:szCs w:val="28"/>
          <w:u w:val="single" w:color="auto"/>
          <w:color w:val="auto"/>
        </w:rPr>
        <w:t>Задача</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u w:val="single" w:color="auto"/>
          <w:color w:val="auto"/>
        </w:rPr>
        <w:t>6.1.</w:t>
      </w:r>
      <w:r>
        <w:rPr>
          <w:rFonts w:ascii="Times New Roman" w:cs="Times New Roman" w:eastAsia="Times New Roman" w:hAnsi="Times New Roman"/>
          <w:sz w:val="28"/>
          <w:szCs w:val="28"/>
          <w:color w:val="auto"/>
        </w:rPr>
        <w:t xml:space="preserve"> Надо рассчитать показатель EVA. Предположим, что инвестиции в производство и продажу хот-догов в уличных киосках составляют 1000 долл. Норма возврата капитала равна 5%, при этом инвестиции с аналогичным уровнем риска могут принести доходность в 15%.</w:t>
      </w:r>
    </w:p>
    <w:p>
      <w:pPr>
        <w:spacing w:after="0" w:line="5" w:lineRule="exact"/>
        <w:rPr>
          <w:sz w:val="20"/>
          <w:szCs w:val="20"/>
          <w:color w:val="auto"/>
        </w:rPr>
      </w:pPr>
    </w:p>
    <w:p>
      <w:pPr>
        <w:ind w:left="980"/>
        <w:spacing w:after="0"/>
        <w:rPr>
          <w:sz w:val="20"/>
          <w:szCs w:val="20"/>
          <w:color w:val="auto"/>
        </w:rPr>
      </w:pPr>
      <w:r>
        <w:rPr>
          <w:rFonts w:ascii="Times New Roman" w:cs="Times New Roman" w:eastAsia="Times New Roman" w:hAnsi="Times New Roman"/>
          <w:sz w:val="28"/>
          <w:szCs w:val="28"/>
          <w:color w:val="auto"/>
        </w:rPr>
        <w:t>В данном случае</w:t>
      </w:r>
    </w:p>
    <w:p>
      <w:pPr>
        <w:spacing w:after="0" w:line="321" w:lineRule="exact"/>
        <w:rPr>
          <w:sz w:val="20"/>
          <w:szCs w:val="20"/>
          <w:color w:val="auto"/>
        </w:rPr>
      </w:pPr>
    </w:p>
    <w:p>
      <w:pPr>
        <w:ind w:left="2320"/>
        <w:spacing w:after="0"/>
        <w:rPr>
          <w:sz w:val="20"/>
          <w:szCs w:val="20"/>
          <w:color w:val="auto"/>
        </w:rPr>
      </w:pPr>
      <w:r>
        <w:rPr>
          <w:rFonts w:ascii="Times New Roman" w:cs="Times New Roman" w:eastAsia="Times New Roman" w:hAnsi="Times New Roman"/>
          <w:sz w:val="28"/>
          <w:szCs w:val="28"/>
          <w:color w:val="auto"/>
        </w:rPr>
        <w:t>EVA = (5% - 15%) · 1000 долл. = - 100 долл.</w:t>
      </w:r>
    </w:p>
    <w:p>
      <w:pPr>
        <w:spacing w:after="0" w:line="322" w:lineRule="exact"/>
        <w:rPr>
          <w:sz w:val="20"/>
          <w:szCs w:val="20"/>
          <w:color w:val="auto"/>
        </w:rPr>
      </w:pPr>
    </w:p>
    <w:p>
      <w:pPr>
        <w:jc w:val="both"/>
        <w:ind w:left="260" w:firstLine="720"/>
        <w:spacing w:after="0" w:line="250" w:lineRule="auto"/>
        <w:rPr>
          <w:sz w:val="20"/>
          <w:szCs w:val="20"/>
          <w:color w:val="auto"/>
        </w:rPr>
      </w:pPr>
      <w:r>
        <w:rPr>
          <w:rFonts w:ascii="Times New Roman" w:cs="Times New Roman" w:eastAsia="Times New Roman" w:hAnsi="Times New Roman"/>
          <w:sz w:val="28"/>
          <w:szCs w:val="28"/>
          <w:color w:val="auto"/>
        </w:rPr>
        <w:t>Из примера видно, что бухгалтерская прибыль составит 50 долл. (5%·1000 долл.), при этом существует возможность заработать 150 долл. (15%·1000 долл.). Отрицательное значение EVA свидетельствует о том, что совершение данной инвестиции в объеме 1000 долл. нецелесообразно.</w:t>
      </w:r>
    </w:p>
    <w:p>
      <w:pPr>
        <w:spacing w:after="0" w:line="269" w:lineRule="exact"/>
        <w:rPr>
          <w:sz w:val="20"/>
          <w:szCs w:val="20"/>
          <w:color w:val="auto"/>
        </w:rPr>
      </w:pPr>
    </w:p>
    <w:p>
      <w:pPr>
        <w:jc w:val="both"/>
        <w:ind w:left="260" w:firstLine="720"/>
        <w:spacing w:after="0"/>
        <w:rPr>
          <w:sz w:val="20"/>
          <w:szCs w:val="20"/>
          <w:color w:val="auto"/>
        </w:rPr>
      </w:pPr>
      <w:r>
        <w:rPr>
          <w:rFonts w:ascii="Times New Roman" w:cs="Times New Roman" w:eastAsia="Times New Roman" w:hAnsi="Times New Roman"/>
          <w:sz w:val="28"/>
          <w:szCs w:val="28"/>
          <w:u w:val="single" w:color="auto"/>
          <w:color w:val="auto"/>
        </w:rPr>
        <w:t>Задача</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u w:val="single" w:color="auto"/>
          <w:color w:val="auto"/>
        </w:rPr>
        <w:t>6.2.</w:t>
      </w:r>
      <w:r>
        <w:rPr>
          <w:rFonts w:ascii="Times New Roman" w:cs="Times New Roman" w:eastAsia="Times New Roman" w:hAnsi="Times New Roman"/>
          <w:sz w:val="28"/>
          <w:szCs w:val="28"/>
          <w:color w:val="auto"/>
        </w:rPr>
        <w:t xml:space="preserve"> Рассмотрим более сложную ситуацию, когда нужно принять решение по инвестициям на базе показателя экономической добавленной стоимости (EVA).</w:t>
      </w:r>
    </w:p>
    <w:p>
      <w:pPr>
        <w:jc w:val="both"/>
        <w:ind w:left="260" w:firstLine="720"/>
        <w:spacing w:after="0" w:line="247" w:lineRule="auto"/>
        <w:rPr>
          <w:sz w:val="20"/>
          <w:szCs w:val="20"/>
          <w:color w:val="auto"/>
        </w:rPr>
      </w:pPr>
      <w:r>
        <w:rPr>
          <w:rFonts w:ascii="Times New Roman" w:cs="Times New Roman" w:eastAsia="Times New Roman" w:hAnsi="Times New Roman"/>
          <w:sz w:val="28"/>
          <w:szCs w:val="28"/>
          <w:color w:val="auto"/>
        </w:rPr>
        <w:t>Компания производит газированные напитки. Инвестированный капитал на дату оценки составляет 100 млн. долл. Структура инвестированного капитала: 50% - собственный капитал, 50% - заемный капитал. Стоимость заемного капитала - 5%, стоимость собственного капитала - 15%. Операционная прибыль компании - 11 млн. долл. Получаем:</w:t>
      </w:r>
    </w:p>
    <w:p>
      <w:pPr>
        <w:spacing w:after="0" w:line="274" w:lineRule="exact"/>
        <w:rPr>
          <w:sz w:val="20"/>
          <w:szCs w:val="20"/>
          <w:color w:val="auto"/>
        </w:rPr>
      </w:pPr>
    </w:p>
    <w:p>
      <w:pPr>
        <w:ind w:left="980"/>
        <w:spacing w:after="0"/>
        <w:rPr>
          <w:sz w:val="20"/>
          <w:szCs w:val="20"/>
          <w:color w:val="auto"/>
        </w:rPr>
      </w:pPr>
      <w:r>
        <w:rPr>
          <w:rFonts w:ascii="Times New Roman" w:cs="Times New Roman" w:eastAsia="Times New Roman" w:hAnsi="Times New Roman"/>
          <w:sz w:val="28"/>
          <w:szCs w:val="28"/>
          <w:color w:val="auto"/>
        </w:rPr>
        <w:t>Норма возврата капитала = 11 млн. долл. /100 млн. долл. = 11%.</w:t>
      </w:r>
    </w:p>
    <w:p>
      <w:pPr>
        <w:spacing w:after="0" w:line="1" w:lineRule="exact"/>
        <w:rPr>
          <w:sz w:val="20"/>
          <w:szCs w:val="20"/>
          <w:color w:val="auto"/>
        </w:rPr>
      </w:pPr>
    </w:p>
    <w:p>
      <w:pPr>
        <w:ind w:left="980"/>
        <w:spacing w:after="0"/>
        <w:rPr>
          <w:sz w:val="20"/>
          <w:szCs w:val="20"/>
          <w:color w:val="auto"/>
        </w:rPr>
      </w:pPr>
      <w:r>
        <w:rPr>
          <w:rFonts w:ascii="Times New Roman" w:cs="Times New Roman" w:eastAsia="Times New Roman" w:hAnsi="Times New Roman"/>
          <w:sz w:val="28"/>
          <w:szCs w:val="28"/>
          <w:color w:val="auto"/>
        </w:rPr>
        <w:t>Отсюда</w:t>
      </w:r>
    </w:p>
    <w:p>
      <w:pPr>
        <w:spacing w:after="0" w:line="321" w:lineRule="exact"/>
        <w:rPr>
          <w:sz w:val="20"/>
          <w:szCs w:val="20"/>
          <w:color w:val="auto"/>
        </w:rPr>
      </w:pPr>
    </w:p>
    <w:tbl>
      <w:tblPr>
        <w:tblLayout w:type="fixed"/>
        <w:tblInd w:w="980" w:type="dxa"/>
        <w:tblCellMar>
          <w:top w:w="0" w:type="dxa"/>
          <w:left w:w="0" w:type="dxa"/>
          <w:bottom w:w="0" w:type="dxa"/>
          <w:right w:w="0" w:type="dxa"/>
        </w:tblCellMar>
      </w:tblPr>
      <w:tr>
        <w:trPr>
          <w:trHeight w:val="323"/>
        </w:trPr>
        <w:tc>
          <w:tcPr>
            <w:tcW w:w="2780" w:type="dxa"/>
            <w:vAlign w:val="bottom"/>
          </w:tcPr>
          <w:p>
            <w:pPr>
              <w:ind w:left="800"/>
              <w:spacing w:after="0"/>
              <w:rPr>
                <w:sz w:val="20"/>
                <w:szCs w:val="20"/>
                <w:color w:val="auto"/>
              </w:rPr>
            </w:pPr>
            <w:r>
              <w:rPr>
                <w:rFonts w:ascii="Times New Roman" w:cs="Times New Roman" w:eastAsia="Times New Roman" w:hAnsi="Times New Roman"/>
                <w:sz w:val="28"/>
                <w:szCs w:val="28"/>
                <w:color w:val="auto"/>
              </w:rPr>
              <w:t>Норма возврата</w:t>
            </w:r>
          </w:p>
        </w:tc>
        <w:tc>
          <w:tcPr>
            <w:tcW w:w="480" w:type="dxa"/>
            <w:vAlign w:val="bottom"/>
          </w:tcPr>
          <w:p>
            <w:pPr>
              <w:spacing w:after="0"/>
              <w:rPr>
                <w:sz w:val="24"/>
                <w:szCs w:val="24"/>
                <w:color w:val="auto"/>
              </w:rPr>
            </w:pPr>
          </w:p>
        </w:tc>
        <w:tc>
          <w:tcPr>
            <w:tcW w:w="2940" w:type="dxa"/>
            <w:vAlign w:val="bottom"/>
          </w:tcPr>
          <w:p>
            <w:pPr>
              <w:ind w:left="360"/>
              <w:spacing w:after="0"/>
              <w:rPr>
                <w:sz w:val="20"/>
                <w:szCs w:val="20"/>
                <w:color w:val="auto"/>
              </w:rPr>
            </w:pPr>
            <w:r>
              <w:rPr>
                <w:rFonts w:ascii="Times New Roman" w:cs="Times New Roman" w:eastAsia="Times New Roman" w:hAnsi="Times New Roman"/>
                <w:sz w:val="28"/>
                <w:szCs w:val="28"/>
                <w:color w:val="auto"/>
              </w:rPr>
              <w:t>Средневзвешенная</w:t>
            </w:r>
          </w:p>
        </w:tc>
        <w:tc>
          <w:tcPr>
            <w:tcW w:w="240" w:type="dxa"/>
            <w:vAlign w:val="bottom"/>
          </w:tcPr>
          <w:p>
            <w:pPr>
              <w:spacing w:after="0"/>
              <w:rPr>
                <w:sz w:val="24"/>
                <w:szCs w:val="24"/>
                <w:color w:val="auto"/>
              </w:rPr>
            </w:pPr>
          </w:p>
        </w:tc>
        <w:tc>
          <w:tcPr>
            <w:tcW w:w="2200" w:type="dxa"/>
            <w:vAlign w:val="bottom"/>
          </w:tcPr>
          <w:p>
            <w:pPr>
              <w:jc w:val="center"/>
              <w:spacing w:after="0"/>
              <w:rPr>
                <w:sz w:val="20"/>
                <w:szCs w:val="20"/>
                <w:color w:val="auto"/>
              </w:rPr>
            </w:pPr>
            <w:r>
              <w:rPr>
                <w:rFonts w:ascii="Times New Roman" w:cs="Times New Roman" w:eastAsia="Times New Roman" w:hAnsi="Times New Roman"/>
                <w:sz w:val="28"/>
                <w:szCs w:val="28"/>
                <w:color w:val="auto"/>
              </w:rPr>
              <w:t>Инвестированный</w:t>
            </w:r>
          </w:p>
        </w:tc>
        <w:tc>
          <w:tcPr>
            <w:tcW w:w="0" w:type="dxa"/>
            <w:vAlign w:val="bottom"/>
          </w:tcPr>
          <w:p>
            <w:pPr>
              <w:spacing w:after="0"/>
              <w:rPr>
                <w:sz w:val="1"/>
                <w:szCs w:val="1"/>
                <w:color w:val="auto"/>
              </w:rPr>
            </w:pPr>
          </w:p>
        </w:tc>
      </w:tr>
      <w:tr>
        <w:trPr>
          <w:trHeight w:val="322"/>
        </w:trPr>
        <w:tc>
          <w:tcPr>
            <w:tcW w:w="2780" w:type="dxa"/>
            <w:vAlign w:val="bottom"/>
          </w:tcPr>
          <w:p>
            <w:pPr>
              <w:spacing w:after="0"/>
              <w:rPr>
                <w:sz w:val="20"/>
                <w:szCs w:val="20"/>
                <w:color w:val="auto"/>
              </w:rPr>
            </w:pPr>
            <w:r>
              <w:rPr>
                <w:rFonts w:ascii="Times New Roman" w:cs="Times New Roman" w:eastAsia="Times New Roman" w:hAnsi="Times New Roman"/>
                <w:sz w:val="28"/>
                <w:szCs w:val="28"/>
                <w:color w:val="auto"/>
              </w:rPr>
              <w:t>EVA=[  капитала</w:t>
            </w:r>
          </w:p>
        </w:tc>
        <w:tc>
          <w:tcPr>
            <w:tcW w:w="480" w:type="dxa"/>
            <w:vAlign w:val="bottom"/>
          </w:tcPr>
          <w:p>
            <w:pPr>
              <w:jc w:val="right"/>
              <w:ind w:right="140"/>
              <w:spacing w:after="0"/>
              <w:rPr>
                <w:sz w:val="20"/>
                <w:szCs w:val="20"/>
                <w:color w:val="auto"/>
              </w:rPr>
            </w:pPr>
            <w:r>
              <w:rPr>
                <w:rFonts w:ascii="Times New Roman" w:cs="Times New Roman" w:eastAsia="Times New Roman" w:hAnsi="Times New Roman"/>
                <w:sz w:val="28"/>
                <w:szCs w:val="28"/>
                <w:color w:val="auto"/>
              </w:rPr>
              <w:t>-</w:t>
            </w:r>
          </w:p>
        </w:tc>
        <w:tc>
          <w:tcPr>
            <w:tcW w:w="2940" w:type="dxa"/>
            <w:vAlign w:val="bottom"/>
          </w:tcPr>
          <w:p>
            <w:pPr>
              <w:ind w:left="280"/>
              <w:spacing w:after="0"/>
              <w:rPr>
                <w:sz w:val="20"/>
                <w:szCs w:val="20"/>
                <w:color w:val="auto"/>
              </w:rPr>
            </w:pPr>
            <w:r>
              <w:rPr>
                <w:rFonts w:ascii="Times New Roman" w:cs="Times New Roman" w:eastAsia="Times New Roman" w:hAnsi="Times New Roman"/>
                <w:sz w:val="28"/>
                <w:szCs w:val="28"/>
                <w:color w:val="auto"/>
              </w:rPr>
              <w:t>стоимость капитала ]</w:t>
            </w:r>
          </w:p>
        </w:tc>
        <w:tc>
          <w:tcPr>
            <w:tcW w:w="240" w:type="dxa"/>
            <w:vAlign w:val="bottom"/>
          </w:tcPr>
          <w:p>
            <w:pPr>
              <w:ind w:left="140"/>
              <w:spacing w:after="0"/>
              <w:rPr>
                <w:sz w:val="20"/>
                <w:szCs w:val="20"/>
                <w:color w:val="auto"/>
              </w:rPr>
            </w:pPr>
            <w:r>
              <w:rPr>
                <w:rFonts w:ascii="Times New Roman" w:cs="Times New Roman" w:eastAsia="Times New Roman" w:hAnsi="Times New Roman"/>
                <w:sz w:val="28"/>
                <w:szCs w:val="28"/>
                <w:color w:val="auto"/>
                <w:w w:val="81"/>
              </w:rPr>
              <w:t>•</w:t>
            </w:r>
          </w:p>
        </w:tc>
        <w:tc>
          <w:tcPr>
            <w:tcW w:w="2200" w:type="dxa"/>
            <w:vAlign w:val="bottom"/>
          </w:tcPr>
          <w:p>
            <w:pPr>
              <w:ind w:left="640"/>
              <w:spacing w:after="0"/>
              <w:rPr>
                <w:sz w:val="20"/>
                <w:szCs w:val="20"/>
                <w:color w:val="auto"/>
              </w:rPr>
            </w:pPr>
            <w:r>
              <w:rPr>
                <w:rFonts w:ascii="Times New Roman" w:cs="Times New Roman" w:eastAsia="Times New Roman" w:hAnsi="Times New Roman"/>
                <w:sz w:val="28"/>
                <w:szCs w:val="28"/>
                <w:color w:val="auto"/>
              </w:rPr>
              <w:t>капитал   =</w:t>
            </w:r>
          </w:p>
        </w:tc>
        <w:tc>
          <w:tcPr>
            <w:tcW w:w="0" w:type="dxa"/>
            <w:vAlign w:val="bottom"/>
          </w:tcPr>
          <w:p>
            <w:pPr>
              <w:spacing w:after="0"/>
              <w:rPr>
                <w:sz w:val="1"/>
                <w:szCs w:val="1"/>
                <w:color w:val="auto"/>
              </w:rPr>
            </w:pPr>
          </w:p>
        </w:tc>
      </w:tr>
      <w:tr>
        <w:trPr>
          <w:trHeight w:val="322"/>
        </w:trPr>
        <w:tc>
          <w:tcPr>
            <w:tcW w:w="2780" w:type="dxa"/>
            <w:vAlign w:val="bottom"/>
          </w:tcPr>
          <w:p>
            <w:pPr>
              <w:ind w:left="1720"/>
              <w:spacing w:after="0"/>
              <w:rPr>
                <w:sz w:val="20"/>
                <w:szCs w:val="20"/>
                <w:color w:val="auto"/>
              </w:rPr>
            </w:pPr>
            <w:r>
              <w:rPr>
                <w:rFonts w:ascii="Times New Roman" w:cs="Times New Roman" w:eastAsia="Times New Roman" w:hAnsi="Times New Roman"/>
                <w:sz w:val="28"/>
                <w:szCs w:val="28"/>
                <w:color w:val="auto"/>
              </w:rPr>
              <w:t>(ROI)</w:t>
            </w:r>
          </w:p>
        </w:tc>
        <w:tc>
          <w:tcPr>
            <w:tcW w:w="480" w:type="dxa"/>
            <w:vAlign w:val="bottom"/>
          </w:tcPr>
          <w:p>
            <w:pPr>
              <w:spacing w:after="0"/>
              <w:rPr>
                <w:sz w:val="24"/>
                <w:szCs w:val="24"/>
                <w:color w:val="auto"/>
              </w:rPr>
            </w:pPr>
          </w:p>
        </w:tc>
        <w:tc>
          <w:tcPr>
            <w:tcW w:w="2940" w:type="dxa"/>
            <w:vAlign w:val="bottom"/>
          </w:tcPr>
          <w:p>
            <w:pPr>
              <w:ind w:left="1160"/>
              <w:spacing w:after="0"/>
              <w:rPr>
                <w:sz w:val="20"/>
                <w:szCs w:val="20"/>
                <w:color w:val="auto"/>
              </w:rPr>
            </w:pPr>
            <w:r>
              <w:rPr>
                <w:rFonts w:ascii="Times New Roman" w:cs="Times New Roman" w:eastAsia="Times New Roman" w:hAnsi="Times New Roman"/>
                <w:sz w:val="28"/>
                <w:szCs w:val="28"/>
                <w:color w:val="auto"/>
              </w:rPr>
              <w:t>(WACC)</w:t>
            </w:r>
          </w:p>
        </w:tc>
        <w:tc>
          <w:tcPr>
            <w:tcW w:w="240" w:type="dxa"/>
            <w:vAlign w:val="bottom"/>
          </w:tcPr>
          <w:p>
            <w:pPr>
              <w:spacing w:after="0"/>
              <w:rPr>
                <w:sz w:val="24"/>
                <w:szCs w:val="24"/>
                <w:color w:val="auto"/>
              </w:rPr>
            </w:pPr>
          </w:p>
        </w:tc>
        <w:tc>
          <w:tcPr>
            <w:tcW w:w="2200" w:type="dxa"/>
            <w:vAlign w:val="bottom"/>
          </w:tcPr>
          <w:p>
            <w:pPr>
              <w:ind w:left="340"/>
              <w:spacing w:after="0"/>
              <w:rPr>
                <w:sz w:val="20"/>
                <w:szCs w:val="20"/>
                <w:color w:val="auto"/>
              </w:rPr>
            </w:pPr>
            <w:r>
              <w:rPr>
                <w:rFonts w:ascii="Times New Roman" w:cs="Times New Roman" w:eastAsia="Times New Roman" w:hAnsi="Times New Roman"/>
                <w:sz w:val="28"/>
                <w:szCs w:val="28"/>
                <w:color w:val="auto"/>
              </w:rPr>
              <w:t>(CAPITAL</w:t>
            </w:r>
          </w:p>
        </w:tc>
        <w:tc>
          <w:tcPr>
            <w:tcW w:w="0" w:type="dxa"/>
            <w:vAlign w:val="bottom"/>
          </w:tcPr>
          <w:p>
            <w:pPr>
              <w:spacing w:after="0"/>
              <w:rPr>
                <w:sz w:val="1"/>
                <w:szCs w:val="1"/>
                <w:color w:val="auto"/>
              </w:rPr>
            </w:pPr>
          </w:p>
        </w:tc>
      </w:tr>
      <w:tr>
        <w:trPr>
          <w:trHeight w:val="364"/>
        </w:trPr>
        <w:tc>
          <w:tcPr>
            <w:tcW w:w="6200" w:type="dxa"/>
            <w:vAlign w:val="bottom"/>
            <w:gridSpan w:val="3"/>
            <w:vMerge w:val="restart"/>
          </w:tcPr>
          <w:p>
            <w:pPr>
              <w:ind w:left="2220"/>
              <w:spacing w:after="0"/>
              <w:rPr>
                <w:sz w:val="20"/>
                <w:szCs w:val="20"/>
                <w:color w:val="auto"/>
              </w:rPr>
            </w:pPr>
            <w:r>
              <w:rPr>
                <w:rFonts w:ascii="Times New Roman" w:cs="Times New Roman" w:eastAsia="Times New Roman" w:hAnsi="Times New Roman"/>
                <w:sz w:val="28"/>
                <w:szCs w:val="28"/>
                <w:color w:val="auto"/>
              </w:rPr>
              <w:t>= (11%-10%) · 100 млн. долл.</w:t>
            </w:r>
          </w:p>
        </w:tc>
        <w:tc>
          <w:tcPr>
            <w:tcW w:w="240" w:type="dxa"/>
            <w:vAlign w:val="bottom"/>
          </w:tcPr>
          <w:p>
            <w:pPr>
              <w:spacing w:after="0"/>
              <w:rPr>
                <w:sz w:val="24"/>
                <w:szCs w:val="24"/>
                <w:color w:val="auto"/>
              </w:rPr>
            </w:pPr>
          </w:p>
        </w:tc>
        <w:tc>
          <w:tcPr>
            <w:tcW w:w="2200" w:type="dxa"/>
            <w:vAlign w:val="bottom"/>
          </w:tcPr>
          <w:p>
            <w:pPr>
              <w:jc w:val="center"/>
              <w:spacing w:after="0"/>
              <w:rPr>
                <w:sz w:val="20"/>
                <w:szCs w:val="20"/>
                <w:color w:val="auto"/>
              </w:rPr>
            </w:pPr>
            <w:r>
              <w:rPr>
                <w:rFonts w:ascii="Times New Roman" w:cs="Times New Roman" w:eastAsia="Times New Roman" w:hAnsi="Times New Roman"/>
                <w:sz w:val="28"/>
                <w:szCs w:val="28"/>
                <w:color w:val="auto"/>
                <w:w w:val="98"/>
              </w:rPr>
              <w:t>employed)</w:t>
            </w:r>
          </w:p>
        </w:tc>
        <w:tc>
          <w:tcPr>
            <w:tcW w:w="0" w:type="dxa"/>
            <w:vAlign w:val="bottom"/>
          </w:tcPr>
          <w:p>
            <w:pPr>
              <w:spacing w:after="0"/>
              <w:rPr>
                <w:sz w:val="1"/>
                <w:szCs w:val="1"/>
                <w:color w:val="auto"/>
              </w:rPr>
            </w:pPr>
          </w:p>
        </w:tc>
      </w:tr>
      <w:tr>
        <w:trPr>
          <w:trHeight w:val="323"/>
        </w:trPr>
        <w:tc>
          <w:tcPr>
            <w:tcW w:w="6200" w:type="dxa"/>
            <w:vAlign w:val="bottom"/>
            <w:gridSpan w:val="3"/>
            <w:vMerge w:val="continue"/>
          </w:tcPr>
          <w:p>
            <w:pPr>
              <w:spacing w:after="0"/>
              <w:rPr>
                <w:sz w:val="24"/>
                <w:szCs w:val="24"/>
                <w:color w:val="auto"/>
              </w:rPr>
            </w:pPr>
          </w:p>
        </w:tc>
        <w:tc>
          <w:tcPr>
            <w:tcW w:w="240" w:type="dxa"/>
            <w:vAlign w:val="bottom"/>
          </w:tcPr>
          <w:p>
            <w:pPr>
              <w:spacing w:after="0"/>
              <w:rPr>
                <w:sz w:val="24"/>
                <w:szCs w:val="24"/>
                <w:color w:val="auto"/>
              </w:rPr>
            </w:pPr>
          </w:p>
        </w:tc>
        <w:tc>
          <w:tcPr>
            <w:tcW w:w="220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pacing w:after="0" w:line="280" w:lineRule="exact"/>
        <w:rPr>
          <w:sz w:val="20"/>
          <w:szCs w:val="20"/>
          <w:color w:val="auto"/>
        </w:rPr>
      </w:pPr>
    </w:p>
    <w:p>
      <w:pPr>
        <w:jc w:val="both"/>
        <w:ind w:left="260" w:firstLine="720"/>
        <w:spacing w:after="0" w:line="243" w:lineRule="auto"/>
        <w:rPr>
          <w:sz w:val="20"/>
          <w:szCs w:val="20"/>
          <w:color w:val="auto"/>
        </w:rPr>
      </w:pPr>
      <w:r>
        <w:rPr>
          <w:rFonts w:ascii="Times New Roman" w:cs="Times New Roman" w:eastAsia="Times New Roman" w:hAnsi="Times New Roman"/>
          <w:sz w:val="28"/>
          <w:szCs w:val="28"/>
          <w:color w:val="auto"/>
        </w:rPr>
        <w:t>Руководство данной компании рассматривает вопрос о новых инвестициях в объеме 125 млн. долл., связанных с приобретением нового оборудования. Предлагается осуществление инвестиции в полном объеме за счет получения кредита. Финансовый расчет показывает, что рентабельность инвестиции составляет 6%. Таким образом, общий объем инвестированного капитала с учетом новой инвестиции составит 125 млн. долл. (40% собственного капитала, 60% долга). Величина ожидаемой операционной прибыли : (11 млн. долл. + 6%) · 25 млн. долл. = 12,5 млн. долл.; норма возврата на весь инвестированный капитал: 12,5/125 = 10%.</w:t>
      </w:r>
    </w:p>
    <w:p>
      <w:pPr>
        <w:sectPr>
          <w:pgSz w:w="11900" w:h="16840" w:orient="portrait"/>
          <w:cols w:equalWidth="0" w:num="1">
            <w:col w:w="9620"/>
          </w:cols>
          <w:pgMar w:left="1440" w:top="1112" w:right="844" w:bottom="163" w:gutter="0" w:footer="0" w:header="0"/>
        </w:sectPr>
      </w:pPr>
    </w:p>
    <w:p>
      <w:pPr>
        <w:spacing w:after="0" w:line="199" w:lineRule="exact"/>
        <w:rPr>
          <w:sz w:val="20"/>
          <w:szCs w:val="20"/>
          <w:color w:val="auto"/>
        </w:rPr>
      </w:pPr>
    </w:p>
    <w:p>
      <w:pPr>
        <w:ind w:left="9380"/>
        <w:spacing w:after="0"/>
        <w:rPr>
          <w:sz w:val="20"/>
          <w:szCs w:val="20"/>
          <w:color w:val="auto"/>
        </w:rPr>
      </w:pPr>
      <w:r>
        <w:rPr>
          <w:rFonts w:ascii="Times New Roman" w:cs="Times New Roman" w:eastAsia="Times New Roman" w:hAnsi="Times New Roman"/>
          <w:sz w:val="24"/>
          <w:szCs w:val="24"/>
          <w:color w:val="auto"/>
        </w:rPr>
        <w:t>49</w:t>
      </w:r>
    </w:p>
    <w:p>
      <w:pPr>
        <w:sectPr>
          <w:pgSz w:w="11900" w:h="16840" w:orient="portrait"/>
          <w:cols w:equalWidth="0" w:num="1">
            <w:col w:w="9620"/>
          </w:cols>
          <w:pgMar w:left="1440" w:top="1112" w:right="844" w:bottom="163" w:gutter="0" w:footer="0" w:header="0"/>
          <w:type w:val="continuous"/>
        </w:sectPr>
      </w:pPr>
    </w:p>
    <w:p>
      <w:pPr>
        <w:ind w:left="260"/>
        <w:spacing w:after="0"/>
        <w:rPr>
          <w:sz w:val="20"/>
          <w:szCs w:val="20"/>
          <w:color w:val="auto"/>
        </w:rPr>
      </w:pPr>
      <w:r>
        <w:rPr>
          <w:rFonts w:ascii="Times New Roman" w:cs="Times New Roman" w:eastAsia="Times New Roman" w:hAnsi="Times New Roman"/>
          <w:sz w:val="28"/>
          <w:szCs w:val="28"/>
          <w:color w:val="auto"/>
        </w:rPr>
        <w:t>Средневзвешенная стоимость капитала снизится: (0,4·15%) + (0,6·5%) = 9%.</w:t>
      </w:r>
    </w:p>
    <w:p>
      <w:pPr>
        <w:ind w:left="260"/>
        <w:spacing w:after="0"/>
        <w:rPr>
          <w:sz w:val="20"/>
          <w:szCs w:val="20"/>
          <w:color w:val="auto"/>
        </w:rPr>
      </w:pPr>
      <w:r>
        <w:rPr>
          <w:rFonts w:ascii="Times New Roman" w:cs="Times New Roman" w:eastAsia="Times New Roman" w:hAnsi="Times New Roman"/>
          <w:sz w:val="28"/>
          <w:szCs w:val="28"/>
          <w:color w:val="auto"/>
        </w:rPr>
        <w:t>Показатель EVA = (10% - 9%) · 125 = 1,25 млн. долл.</w:t>
      </w:r>
    </w:p>
    <w:p>
      <w:pPr>
        <w:spacing w:after="0" w:line="1" w:lineRule="exact"/>
        <w:rPr>
          <w:sz w:val="20"/>
          <w:szCs w:val="20"/>
          <w:color w:val="auto"/>
        </w:rPr>
      </w:pPr>
    </w:p>
    <w:p>
      <w:pPr>
        <w:jc w:val="both"/>
        <w:ind w:left="260" w:right="180" w:firstLine="720"/>
        <w:spacing w:after="0" w:line="250" w:lineRule="auto"/>
        <w:rPr>
          <w:sz w:val="20"/>
          <w:szCs w:val="20"/>
          <w:color w:val="auto"/>
        </w:rPr>
      </w:pPr>
      <w:r>
        <w:rPr>
          <w:rFonts w:ascii="Times New Roman" w:cs="Times New Roman" w:eastAsia="Times New Roman" w:hAnsi="Times New Roman"/>
          <w:sz w:val="28"/>
          <w:szCs w:val="28"/>
          <w:color w:val="auto"/>
        </w:rPr>
        <w:t>Из примера видно, что действия руководителя при осуществлении данной инвестиции приводят к увеличению экономической добавленной стоимости, что, в свою очередь, вызывает увеличение стоимости компании для акционеров.</w:t>
      </w:r>
    </w:p>
    <w:p>
      <w:pPr>
        <w:spacing w:after="0" w:line="268" w:lineRule="exact"/>
        <w:rPr>
          <w:sz w:val="20"/>
          <w:szCs w:val="20"/>
          <w:color w:val="auto"/>
        </w:rPr>
      </w:pPr>
    </w:p>
    <w:p>
      <w:pPr>
        <w:jc w:val="both"/>
        <w:ind w:left="260" w:right="180" w:firstLine="720"/>
        <w:spacing w:after="0"/>
        <w:rPr>
          <w:sz w:val="20"/>
          <w:szCs w:val="20"/>
          <w:color w:val="auto"/>
        </w:rPr>
      </w:pPr>
      <w:r>
        <w:rPr>
          <w:rFonts w:ascii="Times New Roman" w:cs="Times New Roman" w:eastAsia="Times New Roman" w:hAnsi="Times New Roman"/>
          <w:sz w:val="28"/>
          <w:szCs w:val="28"/>
          <w:u w:val="single" w:color="auto"/>
          <w:color w:val="auto"/>
        </w:rPr>
        <w:t>Задача</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u w:val="single" w:color="auto"/>
          <w:color w:val="auto"/>
        </w:rPr>
        <w:t>6.3.</w:t>
      </w:r>
      <w:r>
        <w:rPr>
          <w:rFonts w:ascii="Times New Roman" w:cs="Times New Roman" w:eastAsia="Times New Roman" w:hAnsi="Times New Roman"/>
          <w:sz w:val="28"/>
          <w:szCs w:val="28"/>
          <w:color w:val="auto"/>
        </w:rPr>
        <w:t xml:space="preserve"> Приведем расчет стоимости бизнеса (компании) с использованием показателя EVA.</w:t>
      </w:r>
    </w:p>
    <w:p>
      <w:pPr>
        <w:jc w:val="both"/>
        <w:ind w:left="260" w:right="180" w:firstLine="720"/>
        <w:spacing w:after="0"/>
        <w:rPr>
          <w:sz w:val="20"/>
          <w:szCs w:val="20"/>
          <w:color w:val="auto"/>
        </w:rPr>
      </w:pPr>
      <w:r>
        <w:rPr>
          <w:rFonts w:ascii="Times New Roman" w:cs="Times New Roman" w:eastAsia="Times New Roman" w:hAnsi="Times New Roman"/>
          <w:sz w:val="28"/>
          <w:szCs w:val="28"/>
          <w:color w:val="auto"/>
        </w:rPr>
        <w:t>Выручка от реализации компании составляет 1000 долл. в первый год; 1200 долл. - во второй; 1500 долл. - в третий; 1500 долл. - начиная с четвертого года и до конца деятельности компании. Период прогнозирования</w:t>
      </w:r>
    </w:p>
    <w:p>
      <w:pPr>
        <w:jc w:val="both"/>
        <w:ind w:left="260" w:right="180" w:firstLine="2"/>
        <w:spacing w:after="0" w:line="239" w:lineRule="auto"/>
        <w:tabs>
          <w:tab w:leader="none" w:pos="584" w:val="left"/>
        </w:tabs>
        <w:numPr>
          <w:ilvl w:val="0"/>
          <w:numId w:val="10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6 лет. Доля операционной прибыли до налогообложения - 20% выручки налог на прибыль - 24%, средневзвешенная стоимость компании - Инвестированный капитал по балансовой оценке равен 1500 долл. в первый год; 1600 долл. - во второй; 1200 долл. - с третьего по шестой год и 900 долл.</w:t>
      </w:r>
    </w:p>
    <w:p>
      <w:pPr>
        <w:spacing w:after="0" w:line="5" w:lineRule="exact"/>
        <w:rPr>
          <w:rFonts w:ascii="Times New Roman" w:cs="Times New Roman" w:eastAsia="Times New Roman" w:hAnsi="Times New Roman"/>
          <w:sz w:val="28"/>
          <w:szCs w:val="28"/>
          <w:color w:val="auto"/>
        </w:rPr>
      </w:pPr>
    </w:p>
    <w:p>
      <w:pPr>
        <w:ind w:left="420" w:hanging="158"/>
        <w:spacing w:after="0"/>
        <w:tabs>
          <w:tab w:leader="none" w:pos="420" w:val="left"/>
        </w:tabs>
        <w:numPr>
          <w:ilvl w:val="0"/>
          <w:numId w:val="10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постпрогнозном периоде.</w:t>
      </w:r>
    </w:p>
    <w:p>
      <w:pPr>
        <w:jc w:val="both"/>
        <w:ind w:left="260" w:right="180" w:firstLine="720"/>
        <w:spacing w:after="0"/>
        <w:rPr>
          <w:sz w:val="20"/>
          <w:szCs w:val="20"/>
          <w:color w:val="auto"/>
        </w:rPr>
      </w:pPr>
      <w:r>
        <w:rPr>
          <w:rFonts w:ascii="Times New Roman" w:cs="Times New Roman" w:eastAsia="Times New Roman" w:hAnsi="Times New Roman"/>
          <w:sz w:val="28"/>
          <w:szCs w:val="28"/>
          <w:color w:val="auto"/>
        </w:rPr>
        <w:t>Требуется рассчитать показатель EVA для каждого прогнозного периода и постпрогнозного периода, определить стоимость компании с помощью EVA. Данные для оценки компании приведены в табл. 6.1.</w:t>
      </w:r>
    </w:p>
    <w:p>
      <w:pPr>
        <w:ind w:left="8200"/>
        <w:spacing w:after="0"/>
        <w:rPr>
          <w:sz w:val="20"/>
          <w:szCs w:val="20"/>
          <w:color w:val="auto"/>
        </w:rPr>
      </w:pPr>
      <w:r>
        <w:rPr>
          <w:rFonts w:ascii="Times New Roman" w:cs="Times New Roman" w:eastAsia="Times New Roman" w:hAnsi="Times New Roman"/>
          <w:sz w:val="28"/>
          <w:szCs w:val="28"/>
          <w:color w:val="auto"/>
        </w:rPr>
        <w:t>Таблица 6.1</w:t>
      </w:r>
    </w:p>
    <w:p>
      <w:pPr>
        <w:spacing w:after="0" w:line="1" w:lineRule="exact"/>
        <w:rPr>
          <w:sz w:val="20"/>
          <w:szCs w:val="20"/>
          <w:color w:val="auto"/>
        </w:rPr>
      </w:pPr>
    </w:p>
    <w:p>
      <w:pPr>
        <w:ind w:left="520"/>
        <w:spacing w:after="0"/>
        <w:rPr>
          <w:sz w:val="20"/>
          <w:szCs w:val="20"/>
          <w:color w:val="auto"/>
        </w:rPr>
      </w:pPr>
      <w:r>
        <w:rPr>
          <w:rFonts w:ascii="Times New Roman" w:cs="Times New Roman" w:eastAsia="Times New Roman" w:hAnsi="Times New Roman"/>
          <w:sz w:val="28"/>
          <w:szCs w:val="28"/>
          <w:color w:val="auto"/>
        </w:rPr>
        <w:t>Данные для оценки стоимости бизнеса с помощью показателя EVA, долл.</w:t>
      </w:r>
    </w:p>
    <w:tbl>
      <w:tblPr>
        <w:tblLayout w:type="fixed"/>
        <w:tblInd w:w="260" w:type="dxa"/>
        <w:tblCellMar>
          <w:top w:w="0" w:type="dxa"/>
          <w:left w:w="0" w:type="dxa"/>
          <w:bottom w:w="0" w:type="dxa"/>
          <w:right w:w="0" w:type="dxa"/>
        </w:tblCellMar>
      </w:tblPr>
      <w:tr>
        <w:trPr>
          <w:trHeight w:val="311"/>
        </w:trPr>
        <w:tc>
          <w:tcPr>
            <w:tcW w:w="4140" w:type="dxa"/>
            <w:vAlign w:val="bottom"/>
            <w:tcBorders>
              <w:top w:val="single" w:sz="8" w:color="auto"/>
            </w:tcBorders>
          </w:tcPr>
          <w:p>
            <w:pPr>
              <w:spacing w:after="0"/>
              <w:rPr>
                <w:sz w:val="24"/>
                <w:szCs w:val="24"/>
                <w:color w:val="auto"/>
              </w:rPr>
            </w:pPr>
          </w:p>
        </w:tc>
        <w:tc>
          <w:tcPr>
            <w:tcW w:w="740" w:type="dxa"/>
            <w:vAlign w:val="bottom"/>
            <w:tcBorders>
              <w:top w:val="single" w:sz="8" w:color="auto"/>
            </w:tcBorders>
          </w:tcPr>
          <w:p>
            <w:pPr>
              <w:spacing w:after="0"/>
              <w:rPr>
                <w:sz w:val="24"/>
                <w:szCs w:val="24"/>
                <w:color w:val="auto"/>
              </w:rPr>
            </w:pPr>
          </w:p>
        </w:tc>
        <w:tc>
          <w:tcPr>
            <w:tcW w:w="720" w:type="dxa"/>
            <w:vAlign w:val="bottom"/>
            <w:tcBorders>
              <w:top w:val="single" w:sz="8" w:color="auto"/>
            </w:tcBorders>
          </w:tcPr>
          <w:p>
            <w:pPr>
              <w:spacing w:after="0"/>
              <w:rPr>
                <w:sz w:val="24"/>
                <w:szCs w:val="24"/>
                <w:color w:val="auto"/>
              </w:rPr>
            </w:pPr>
          </w:p>
        </w:tc>
        <w:tc>
          <w:tcPr>
            <w:tcW w:w="1540" w:type="dxa"/>
            <w:vAlign w:val="bottom"/>
            <w:tcBorders>
              <w:top w:val="single" w:sz="8" w:color="auto"/>
            </w:tcBorders>
            <w:gridSpan w:val="3"/>
          </w:tcPr>
          <w:p>
            <w:pPr>
              <w:ind w:left="420"/>
              <w:spacing w:after="0" w:line="310" w:lineRule="exact"/>
              <w:rPr>
                <w:sz w:val="20"/>
                <w:szCs w:val="20"/>
                <w:color w:val="auto"/>
              </w:rPr>
            </w:pPr>
            <w:r>
              <w:rPr>
                <w:rFonts w:ascii="Times New Roman" w:cs="Times New Roman" w:eastAsia="Times New Roman" w:hAnsi="Times New Roman"/>
                <w:sz w:val="28"/>
                <w:szCs w:val="28"/>
                <w:color w:val="auto"/>
              </w:rPr>
              <w:t>Годы</w:t>
            </w:r>
          </w:p>
        </w:tc>
        <w:tc>
          <w:tcPr>
            <w:tcW w:w="700" w:type="dxa"/>
            <w:vAlign w:val="bottom"/>
            <w:tcBorders>
              <w:top w:val="single" w:sz="8" w:color="auto"/>
            </w:tcBorders>
          </w:tcPr>
          <w:p>
            <w:pPr>
              <w:spacing w:after="0"/>
              <w:rPr>
                <w:sz w:val="24"/>
                <w:szCs w:val="24"/>
                <w:color w:val="auto"/>
              </w:rPr>
            </w:pPr>
          </w:p>
        </w:tc>
        <w:tc>
          <w:tcPr>
            <w:tcW w:w="720" w:type="dxa"/>
            <w:vAlign w:val="bottom"/>
            <w:tcBorders>
              <w:top w:val="single" w:sz="8" w:color="auto"/>
              <w:right w:val="single" w:sz="8" w:color="auto"/>
            </w:tcBorders>
          </w:tcPr>
          <w:p>
            <w:pPr>
              <w:spacing w:after="0"/>
              <w:rPr>
                <w:sz w:val="24"/>
                <w:szCs w:val="24"/>
                <w:color w:val="auto"/>
              </w:rPr>
            </w:pPr>
          </w:p>
        </w:tc>
        <w:tc>
          <w:tcPr>
            <w:tcW w:w="980" w:type="dxa"/>
            <w:vAlign w:val="bottom"/>
            <w:tcBorders>
              <w:top w:val="single" w:sz="8" w:color="auto"/>
            </w:tcBorders>
          </w:tcPr>
          <w:p>
            <w:pPr>
              <w:jc w:val="center"/>
              <w:spacing w:after="0" w:line="310" w:lineRule="exact"/>
              <w:rPr>
                <w:sz w:val="20"/>
                <w:szCs w:val="20"/>
                <w:color w:val="auto"/>
              </w:rPr>
            </w:pPr>
            <w:r>
              <w:rPr>
                <w:rFonts w:ascii="Times New Roman" w:cs="Times New Roman" w:eastAsia="Times New Roman" w:hAnsi="Times New Roman"/>
                <w:sz w:val="28"/>
                <w:szCs w:val="28"/>
                <w:color w:val="auto"/>
              </w:rPr>
              <w:t>Постп-</w:t>
            </w:r>
          </w:p>
        </w:tc>
        <w:tc>
          <w:tcPr>
            <w:tcW w:w="0" w:type="dxa"/>
            <w:vAlign w:val="bottom"/>
          </w:tcPr>
          <w:p>
            <w:pPr>
              <w:spacing w:after="0"/>
              <w:rPr>
                <w:sz w:val="1"/>
                <w:szCs w:val="1"/>
                <w:color w:val="auto"/>
              </w:rPr>
            </w:pPr>
          </w:p>
        </w:tc>
      </w:tr>
      <w:tr>
        <w:trPr>
          <w:trHeight w:val="22"/>
        </w:trPr>
        <w:tc>
          <w:tcPr>
            <w:tcW w:w="4140" w:type="dxa"/>
            <w:vAlign w:val="bottom"/>
            <w:vMerge w:val="restart"/>
          </w:tcPr>
          <w:p>
            <w:pPr>
              <w:ind w:left="1380"/>
              <w:spacing w:after="0"/>
              <w:rPr>
                <w:sz w:val="20"/>
                <w:szCs w:val="20"/>
                <w:color w:val="auto"/>
              </w:rPr>
            </w:pPr>
            <w:r>
              <w:rPr>
                <w:rFonts w:ascii="Times New Roman" w:cs="Times New Roman" w:eastAsia="Times New Roman" w:hAnsi="Times New Roman"/>
                <w:sz w:val="28"/>
                <w:szCs w:val="28"/>
                <w:color w:val="auto"/>
              </w:rPr>
              <w:t>Показатели</w:t>
            </w:r>
          </w:p>
        </w:tc>
        <w:tc>
          <w:tcPr>
            <w:tcW w:w="740" w:type="dxa"/>
            <w:vAlign w:val="bottom"/>
            <w:tcBorders>
              <w:bottom w:val="single" w:sz="8" w:color="auto"/>
            </w:tcBorders>
          </w:tcPr>
          <w:p>
            <w:pPr>
              <w:spacing w:after="0" w:line="20" w:lineRule="exact"/>
              <w:rPr>
                <w:sz w:val="1"/>
                <w:szCs w:val="1"/>
                <w:color w:val="auto"/>
              </w:rPr>
            </w:pPr>
          </w:p>
        </w:tc>
        <w:tc>
          <w:tcPr>
            <w:tcW w:w="720" w:type="dxa"/>
            <w:vAlign w:val="bottom"/>
            <w:tcBorders>
              <w:bottom w:val="single" w:sz="8" w:color="auto"/>
            </w:tcBorders>
          </w:tcPr>
          <w:p>
            <w:pPr>
              <w:spacing w:after="0" w:line="20" w:lineRule="exact"/>
              <w:rPr>
                <w:sz w:val="1"/>
                <w:szCs w:val="1"/>
                <w:color w:val="auto"/>
              </w:rPr>
            </w:pPr>
          </w:p>
        </w:tc>
        <w:tc>
          <w:tcPr>
            <w:tcW w:w="720" w:type="dxa"/>
            <w:vAlign w:val="bottom"/>
            <w:tcBorders>
              <w:bottom w:val="single" w:sz="8" w:color="auto"/>
            </w:tcBorders>
          </w:tcPr>
          <w:p>
            <w:pPr>
              <w:spacing w:after="0" w:line="20" w:lineRule="exact"/>
              <w:rPr>
                <w:sz w:val="1"/>
                <w:szCs w:val="1"/>
                <w:color w:val="auto"/>
              </w:rPr>
            </w:pPr>
          </w:p>
        </w:tc>
        <w:tc>
          <w:tcPr>
            <w:tcW w:w="72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700" w:type="dxa"/>
            <w:vAlign w:val="bottom"/>
            <w:tcBorders>
              <w:bottom w:val="single" w:sz="8" w:color="auto"/>
            </w:tcBorders>
          </w:tcPr>
          <w:p>
            <w:pPr>
              <w:spacing w:after="0" w:line="20" w:lineRule="exact"/>
              <w:rPr>
                <w:sz w:val="1"/>
                <w:szCs w:val="1"/>
                <w:color w:val="auto"/>
              </w:rPr>
            </w:pPr>
          </w:p>
        </w:tc>
        <w:tc>
          <w:tcPr>
            <w:tcW w:w="720" w:type="dxa"/>
            <w:vAlign w:val="bottom"/>
            <w:tcBorders>
              <w:bottom w:val="single" w:sz="8" w:color="auto"/>
              <w:right w:val="single" w:sz="8" w:color="auto"/>
            </w:tcBorders>
          </w:tcPr>
          <w:p>
            <w:pPr>
              <w:spacing w:after="0" w:line="20" w:lineRule="exact"/>
              <w:rPr>
                <w:sz w:val="1"/>
                <w:szCs w:val="1"/>
                <w:color w:val="auto"/>
              </w:rPr>
            </w:pPr>
          </w:p>
        </w:tc>
        <w:tc>
          <w:tcPr>
            <w:tcW w:w="980" w:type="dxa"/>
            <w:vAlign w:val="bottom"/>
            <w:vMerge w:val="restart"/>
          </w:tcPr>
          <w:p>
            <w:pPr>
              <w:jc w:val="center"/>
              <w:spacing w:after="0"/>
              <w:rPr>
                <w:sz w:val="20"/>
                <w:szCs w:val="20"/>
                <w:color w:val="auto"/>
              </w:rPr>
            </w:pPr>
            <w:r>
              <w:rPr>
                <w:rFonts w:ascii="Times New Roman" w:cs="Times New Roman" w:eastAsia="Times New Roman" w:hAnsi="Times New Roman"/>
                <w:sz w:val="28"/>
                <w:szCs w:val="28"/>
                <w:color w:val="auto"/>
                <w:w w:val="98"/>
              </w:rPr>
              <w:t>рогноз-</w:t>
            </w:r>
          </w:p>
        </w:tc>
        <w:tc>
          <w:tcPr>
            <w:tcW w:w="0" w:type="dxa"/>
            <w:vAlign w:val="bottom"/>
          </w:tcPr>
          <w:p>
            <w:pPr>
              <w:spacing w:after="0"/>
              <w:rPr>
                <w:sz w:val="1"/>
                <w:szCs w:val="1"/>
                <w:color w:val="auto"/>
              </w:rPr>
            </w:pPr>
          </w:p>
        </w:tc>
      </w:tr>
      <w:tr>
        <w:trPr>
          <w:trHeight w:val="281"/>
        </w:trPr>
        <w:tc>
          <w:tcPr>
            <w:tcW w:w="4140" w:type="dxa"/>
            <w:vAlign w:val="bottom"/>
            <w:vMerge w:val="continue"/>
          </w:tcPr>
          <w:p>
            <w:pPr>
              <w:spacing w:after="0"/>
              <w:rPr>
                <w:sz w:val="24"/>
                <w:szCs w:val="24"/>
                <w:color w:val="auto"/>
              </w:rPr>
            </w:pPr>
          </w:p>
        </w:tc>
        <w:tc>
          <w:tcPr>
            <w:tcW w:w="74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8"/>
                <w:szCs w:val="28"/>
                <w:color w:val="auto"/>
                <w:w w:val="99"/>
              </w:rPr>
              <w:t>1</w:t>
            </w:r>
          </w:p>
        </w:tc>
        <w:tc>
          <w:tcPr>
            <w:tcW w:w="72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8"/>
                <w:szCs w:val="28"/>
                <w:color w:val="auto"/>
                <w:w w:val="99"/>
              </w:rPr>
              <w:t>2</w:t>
            </w:r>
          </w:p>
        </w:tc>
        <w:tc>
          <w:tcPr>
            <w:tcW w:w="72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8"/>
                <w:szCs w:val="28"/>
                <w:color w:val="auto"/>
                <w:w w:val="99"/>
              </w:rPr>
              <w:t>3</w:t>
            </w:r>
          </w:p>
        </w:tc>
        <w:tc>
          <w:tcPr>
            <w:tcW w:w="72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8"/>
                <w:szCs w:val="28"/>
                <w:color w:val="auto"/>
                <w:w w:val="99"/>
              </w:rPr>
              <w:t>4</w:t>
            </w:r>
          </w:p>
        </w:tc>
        <w:tc>
          <w:tcPr>
            <w:tcW w:w="100" w:type="dxa"/>
            <w:vAlign w:val="bottom"/>
          </w:tcPr>
          <w:p>
            <w:pPr>
              <w:spacing w:after="0"/>
              <w:rPr>
                <w:sz w:val="24"/>
                <w:szCs w:val="24"/>
                <w:color w:val="auto"/>
              </w:rPr>
            </w:pPr>
          </w:p>
        </w:tc>
        <w:tc>
          <w:tcPr>
            <w:tcW w:w="70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8"/>
                <w:szCs w:val="28"/>
                <w:color w:val="auto"/>
                <w:w w:val="99"/>
              </w:rPr>
              <w:t>5</w:t>
            </w:r>
          </w:p>
        </w:tc>
        <w:tc>
          <w:tcPr>
            <w:tcW w:w="72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8"/>
                <w:szCs w:val="28"/>
                <w:color w:val="auto"/>
                <w:w w:val="99"/>
              </w:rPr>
              <w:t>6</w:t>
            </w:r>
          </w:p>
        </w:tc>
        <w:tc>
          <w:tcPr>
            <w:tcW w:w="980" w:type="dxa"/>
            <w:vAlign w:val="bottom"/>
            <w:vMerge w:val="continue"/>
          </w:tcPr>
          <w:p>
            <w:pPr>
              <w:spacing w:after="0"/>
              <w:rPr>
                <w:sz w:val="24"/>
                <w:szCs w:val="24"/>
                <w:color w:val="auto"/>
              </w:rPr>
            </w:pPr>
          </w:p>
        </w:tc>
        <w:tc>
          <w:tcPr>
            <w:tcW w:w="0" w:type="dxa"/>
            <w:vAlign w:val="bottom"/>
          </w:tcPr>
          <w:p>
            <w:pPr>
              <w:spacing w:after="0"/>
              <w:rPr>
                <w:sz w:val="1"/>
                <w:szCs w:val="1"/>
                <w:color w:val="auto"/>
              </w:rPr>
            </w:pPr>
          </w:p>
        </w:tc>
      </w:tr>
      <w:tr>
        <w:trPr>
          <w:trHeight w:val="208"/>
        </w:trPr>
        <w:tc>
          <w:tcPr>
            <w:tcW w:w="4140" w:type="dxa"/>
            <w:vAlign w:val="bottom"/>
          </w:tcPr>
          <w:p>
            <w:pPr>
              <w:spacing w:after="0"/>
              <w:rPr>
                <w:sz w:val="18"/>
                <w:szCs w:val="18"/>
                <w:color w:val="auto"/>
              </w:rPr>
            </w:pPr>
          </w:p>
        </w:tc>
        <w:tc>
          <w:tcPr>
            <w:tcW w:w="740" w:type="dxa"/>
            <w:vAlign w:val="bottom"/>
            <w:tcBorders>
              <w:right w:val="single" w:sz="8" w:color="auto"/>
            </w:tcBorders>
            <w:vMerge w:val="continue"/>
          </w:tcPr>
          <w:p>
            <w:pPr>
              <w:spacing w:after="0"/>
              <w:rPr>
                <w:sz w:val="18"/>
                <w:szCs w:val="18"/>
                <w:color w:val="auto"/>
              </w:rPr>
            </w:pPr>
          </w:p>
        </w:tc>
        <w:tc>
          <w:tcPr>
            <w:tcW w:w="720" w:type="dxa"/>
            <w:vAlign w:val="bottom"/>
            <w:tcBorders>
              <w:right w:val="single" w:sz="8" w:color="auto"/>
            </w:tcBorders>
            <w:vMerge w:val="continue"/>
          </w:tcPr>
          <w:p>
            <w:pPr>
              <w:spacing w:after="0"/>
              <w:rPr>
                <w:sz w:val="18"/>
                <w:szCs w:val="18"/>
                <w:color w:val="auto"/>
              </w:rPr>
            </w:pPr>
          </w:p>
        </w:tc>
        <w:tc>
          <w:tcPr>
            <w:tcW w:w="720" w:type="dxa"/>
            <w:vAlign w:val="bottom"/>
            <w:tcBorders>
              <w:right w:val="single" w:sz="8" w:color="auto"/>
            </w:tcBorders>
            <w:vMerge w:val="continue"/>
          </w:tcPr>
          <w:p>
            <w:pPr>
              <w:spacing w:after="0"/>
              <w:rPr>
                <w:sz w:val="18"/>
                <w:szCs w:val="18"/>
                <w:color w:val="auto"/>
              </w:rPr>
            </w:pPr>
          </w:p>
        </w:tc>
        <w:tc>
          <w:tcPr>
            <w:tcW w:w="720" w:type="dxa"/>
            <w:vAlign w:val="bottom"/>
            <w:tcBorders>
              <w:right w:val="single" w:sz="8" w:color="auto"/>
            </w:tcBorders>
            <w:vMerge w:val="continue"/>
          </w:tcPr>
          <w:p>
            <w:pPr>
              <w:spacing w:after="0"/>
              <w:rPr>
                <w:sz w:val="18"/>
                <w:szCs w:val="18"/>
                <w:color w:val="auto"/>
              </w:rPr>
            </w:pPr>
          </w:p>
        </w:tc>
        <w:tc>
          <w:tcPr>
            <w:tcW w:w="100" w:type="dxa"/>
            <w:vAlign w:val="bottom"/>
          </w:tcPr>
          <w:p>
            <w:pPr>
              <w:spacing w:after="0"/>
              <w:rPr>
                <w:sz w:val="18"/>
                <w:szCs w:val="18"/>
                <w:color w:val="auto"/>
              </w:rPr>
            </w:pPr>
          </w:p>
        </w:tc>
        <w:tc>
          <w:tcPr>
            <w:tcW w:w="700" w:type="dxa"/>
            <w:vAlign w:val="bottom"/>
            <w:tcBorders>
              <w:right w:val="single" w:sz="8" w:color="auto"/>
            </w:tcBorders>
            <w:vMerge w:val="continue"/>
          </w:tcPr>
          <w:p>
            <w:pPr>
              <w:spacing w:after="0"/>
              <w:rPr>
                <w:sz w:val="18"/>
                <w:szCs w:val="18"/>
                <w:color w:val="auto"/>
              </w:rPr>
            </w:pPr>
          </w:p>
        </w:tc>
        <w:tc>
          <w:tcPr>
            <w:tcW w:w="720" w:type="dxa"/>
            <w:vAlign w:val="bottom"/>
            <w:tcBorders>
              <w:right w:val="single" w:sz="8" w:color="auto"/>
            </w:tcBorders>
            <w:vMerge w:val="continue"/>
          </w:tcPr>
          <w:p>
            <w:pPr>
              <w:spacing w:after="0"/>
              <w:rPr>
                <w:sz w:val="18"/>
                <w:szCs w:val="18"/>
                <w:color w:val="auto"/>
              </w:rPr>
            </w:pPr>
          </w:p>
        </w:tc>
        <w:tc>
          <w:tcPr>
            <w:tcW w:w="980" w:type="dxa"/>
            <w:vAlign w:val="bottom"/>
            <w:vMerge w:val="restart"/>
          </w:tcPr>
          <w:p>
            <w:pPr>
              <w:jc w:val="center"/>
              <w:spacing w:after="0"/>
              <w:rPr>
                <w:sz w:val="20"/>
                <w:szCs w:val="20"/>
                <w:color w:val="auto"/>
              </w:rPr>
            </w:pPr>
            <w:r>
              <w:rPr>
                <w:rFonts w:ascii="Times New Roman" w:cs="Times New Roman" w:eastAsia="Times New Roman" w:hAnsi="Times New Roman"/>
                <w:sz w:val="28"/>
                <w:szCs w:val="28"/>
                <w:color w:val="auto"/>
                <w:w w:val="98"/>
              </w:rPr>
              <w:t>ный</w:t>
            </w:r>
          </w:p>
        </w:tc>
        <w:tc>
          <w:tcPr>
            <w:tcW w:w="0" w:type="dxa"/>
            <w:vAlign w:val="bottom"/>
          </w:tcPr>
          <w:p>
            <w:pPr>
              <w:spacing w:after="0"/>
              <w:rPr>
                <w:sz w:val="1"/>
                <w:szCs w:val="1"/>
                <w:color w:val="auto"/>
              </w:rPr>
            </w:pPr>
          </w:p>
        </w:tc>
      </w:tr>
      <w:tr>
        <w:trPr>
          <w:trHeight w:val="136"/>
        </w:trPr>
        <w:tc>
          <w:tcPr>
            <w:tcW w:w="4140" w:type="dxa"/>
            <w:vAlign w:val="bottom"/>
            <w:tcBorders>
              <w:bottom w:val="single" w:sz="8" w:color="auto"/>
            </w:tcBorders>
          </w:tcPr>
          <w:p>
            <w:pPr>
              <w:spacing w:after="0"/>
              <w:rPr>
                <w:sz w:val="11"/>
                <w:szCs w:val="11"/>
                <w:color w:val="auto"/>
              </w:rPr>
            </w:pPr>
          </w:p>
        </w:tc>
        <w:tc>
          <w:tcPr>
            <w:tcW w:w="740" w:type="dxa"/>
            <w:vAlign w:val="bottom"/>
            <w:tcBorders>
              <w:bottom w:val="single" w:sz="8" w:color="auto"/>
              <w:right w:val="single" w:sz="8" w:color="auto"/>
            </w:tcBorders>
          </w:tcPr>
          <w:p>
            <w:pPr>
              <w:spacing w:after="0"/>
              <w:rPr>
                <w:sz w:val="11"/>
                <w:szCs w:val="11"/>
                <w:color w:val="auto"/>
              </w:rPr>
            </w:pPr>
          </w:p>
        </w:tc>
        <w:tc>
          <w:tcPr>
            <w:tcW w:w="720" w:type="dxa"/>
            <w:vAlign w:val="bottom"/>
            <w:tcBorders>
              <w:bottom w:val="single" w:sz="8" w:color="auto"/>
              <w:right w:val="single" w:sz="8" w:color="auto"/>
            </w:tcBorders>
          </w:tcPr>
          <w:p>
            <w:pPr>
              <w:spacing w:after="0"/>
              <w:rPr>
                <w:sz w:val="11"/>
                <w:szCs w:val="11"/>
                <w:color w:val="auto"/>
              </w:rPr>
            </w:pPr>
          </w:p>
        </w:tc>
        <w:tc>
          <w:tcPr>
            <w:tcW w:w="720" w:type="dxa"/>
            <w:vAlign w:val="bottom"/>
            <w:tcBorders>
              <w:bottom w:val="single" w:sz="8" w:color="auto"/>
              <w:right w:val="single" w:sz="8" w:color="auto"/>
            </w:tcBorders>
          </w:tcPr>
          <w:p>
            <w:pPr>
              <w:spacing w:after="0"/>
              <w:rPr>
                <w:sz w:val="11"/>
                <w:szCs w:val="11"/>
                <w:color w:val="auto"/>
              </w:rPr>
            </w:pPr>
          </w:p>
        </w:tc>
        <w:tc>
          <w:tcPr>
            <w:tcW w:w="720" w:type="dxa"/>
            <w:vAlign w:val="bottom"/>
            <w:tcBorders>
              <w:bottom w:val="single" w:sz="8" w:color="auto"/>
              <w:right w:val="single" w:sz="8" w:color="auto"/>
            </w:tcBorders>
          </w:tcPr>
          <w:p>
            <w:pPr>
              <w:spacing w:after="0"/>
              <w:rPr>
                <w:sz w:val="11"/>
                <w:szCs w:val="11"/>
                <w:color w:val="auto"/>
              </w:rPr>
            </w:pPr>
          </w:p>
        </w:tc>
        <w:tc>
          <w:tcPr>
            <w:tcW w:w="100" w:type="dxa"/>
            <w:vAlign w:val="bottom"/>
            <w:tcBorders>
              <w:bottom w:val="single" w:sz="8" w:color="auto"/>
            </w:tcBorders>
          </w:tcPr>
          <w:p>
            <w:pPr>
              <w:spacing w:after="0"/>
              <w:rPr>
                <w:sz w:val="11"/>
                <w:szCs w:val="11"/>
                <w:color w:val="auto"/>
              </w:rPr>
            </w:pPr>
          </w:p>
        </w:tc>
        <w:tc>
          <w:tcPr>
            <w:tcW w:w="700" w:type="dxa"/>
            <w:vAlign w:val="bottom"/>
            <w:tcBorders>
              <w:bottom w:val="single" w:sz="8" w:color="auto"/>
              <w:right w:val="single" w:sz="8" w:color="auto"/>
            </w:tcBorders>
          </w:tcPr>
          <w:p>
            <w:pPr>
              <w:spacing w:after="0"/>
              <w:rPr>
                <w:sz w:val="11"/>
                <w:szCs w:val="11"/>
                <w:color w:val="auto"/>
              </w:rPr>
            </w:pPr>
          </w:p>
        </w:tc>
        <w:tc>
          <w:tcPr>
            <w:tcW w:w="720" w:type="dxa"/>
            <w:vAlign w:val="bottom"/>
            <w:tcBorders>
              <w:bottom w:val="single" w:sz="8" w:color="auto"/>
              <w:right w:val="single" w:sz="8" w:color="auto"/>
            </w:tcBorders>
          </w:tcPr>
          <w:p>
            <w:pPr>
              <w:spacing w:after="0"/>
              <w:rPr>
                <w:sz w:val="11"/>
                <w:szCs w:val="11"/>
                <w:color w:val="auto"/>
              </w:rPr>
            </w:pPr>
          </w:p>
        </w:tc>
        <w:tc>
          <w:tcPr>
            <w:tcW w:w="980" w:type="dxa"/>
            <w:vAlign w:val="bottom"/>
            <w:tcBorders>
              <w:bottom w:val="single" w:sz="8" w:color="auto"/>
            </w:tcBorders>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353"/>
        </w:trPr>
        <w:tc>
          <w:tcPr>
            <w:tcW w:w="4880" w:type="dxa"/>
            <w:vAlign w:val="bottom"/>
            <w:tcBorders>
              <w:right w:val="single" w:sz="8" w:color="auto"/>
            </w:tcBorders>
            <w:gridSpan w:val="2"/>
          </w:tcPr>
          <w:p>
            <w:pPr>
              <w:ind w:left="20"/>
              <w:spacing w:after="0"/>
              <w:rPr>
                <w:sz w:val="20"/>
                <w:szCs w:val="20"/>
                <w:color w:val="auto"/>
              </w:rPr>
            </w:pPr>
            <w:r>
              <w:rPr>
                <w:rFonts w:ascii="Times New Roman" w:cs="Times New Roman" w:eastAsia="Times New Roman" w:hAnsi="Times New Roman"/>
                <w:sz w:val="28"/>
                <w:szCs w:val="28"/>
                <w:color w:val="auto"/>
              </w:rPr>
              <w:t>Выручка от реализации компании 1000</w:t>
            </w:r>
          </w:p>
        </w:tc>
        <w:tc>
          <w:tcPr>
            <w:tcW w:w="72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8"/>
                <w:szCs w:val="28"/>
                <w:color w:val="auto"/>
                <w:w w:val="99"/>
              </w:rPr>
              <w:t>1200</w:t>
            </w:r>
          </w:p>
        </w:tc>
        <w:tc>
          <w:tcPr>
            <w:tcW w:w="72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8"/>
                <w:szCs w:val="28"/>
                <w:color w:val="auto"/>
                <w:w w:val="99"/>
              </w:rPr>
              <w:t>1500</w:t>
            </w:r>
          </w:p>
        </w:tc>
        <w:tc>
          <w:tcPr>
            <w:tcW w:w="72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8"/>
                <w:szCs w:val="28"/>
                <w:color w:val="auto"/>
                <w:w w:val="99"/>
              </w:rPr>
              <w:t>1500</w:t>
            </w:r>
          </w:p>
        </w:tc>
        <w:tc>
          <w:tcPr>
            <w:tcW w:w="100" w:type="dxa"/>
            <w:vAlign w:val="bottom"/>
          </w:tcPr>
          <w:p>
            <w:pPr>
              <w:spacing w:after="0"/>
              <w:rPr>
                <w:sz w:val="24"/>
                <w:szCs w:val="24"/>
                <w:color w:val="auto"/>
              </w:rPr>
            </w:pPr>
          </w:p>
        </w:tc>
        <w:tc>
          <w:tcPr>
            <w:tcW w:w="70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8"/>
                <w:szCs w:val="28"/>
                <w:color w:val="auto"/>
                <w:w w:val="99"/>
              </w:rPr>
              <w:t>1500</w:t>
            </w:r>
          </w:p>
        </w:tc>
        <w:tc>
          <w:tcPr>
            <w:tcW w:w="72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8"/>
                <w:szCs w:val="28"/>
                <w:color w:val="auto"/>
                <w:w w:val="99"/>
              </w:rPr>
              <w:t>1500</w:t>
            </w:r>
          </w:p>
        </w:tc>
        <w:tc>
          <w:tcPr>
            <w:tcW w:w="980" w:type="dxa"/>
            <w:vAlign w:val="bottom"/>
          </w:tcPr>
          <w:p>
            <w:pPr>
              <w:jc w:val="center"/>
              <w:spacing w:after="0"/>
              <w:rPr>
                <w:sz w:val="20"/>
                <w:szCs w:val="20"/>
                <w:color w:val="auto"/>
              </w:rPr>
            </w:pPr>
            <w:r>
              <w:rPr>
                <w:rFonts w:ascii="Times New Roman" w:cs="Times New Roman" w:eastAsia="Times New Roman" w:hAnsi="Times New Roman"/>
                <w:sz w:val="28"/>
                <w:szCs w:val="28"/>
                <w:color w:val="auto"/>
                <w:w w:val="99"/>
              </w:rPr>
              <w:t>1500</w:t>
            </w:r>
          </w:p>
        </w:tc>
        <w:tc>
          <w:tcPr>
            <w:tcW w:w="0" w:type="dxa"/>
            <w:vAlign w:val="bottom"/>
          </w:tcPr>
          <w:p>
            <w:pPr>
              <w:spacing w:after="0"/>
              <w:rPr>
                <w:sz w:val="1"/>
                <w:szCs w:val="1"/>
                <w:color w:val="auto"/>
              </w:rPr>
            </w:pPr>
          </w:p>
        </w:tc>
      </w:tr>
      <w:tr>
        <w:trPr>
          <w:trHeight w:val="26"/>
        </w:trPr>
        <w:tc>
          <w:tcPr>
            <w:tcW w:w="4140" w:type="dxa"/>
            <w:vAlign w:val="bottom"/>
            <w:tcBorders>
              <w:bottom w:val="single" w:sz="8" w:color="auto"/>
            </w:tcBorders>
          </w:tcPr>
          <w:p>
            <w:pPr>
              <w:spacing w:after="0"/>
              <w:rPr>
                <w:sz w:val="2"/>
                <w:szCs w:val="2"/>
                <w:color w:val="auto"/>
              </w:rPr>
            </w:pPr>
          </w:p>
        </w:tc>
        <w:tc>
          <w:tcPr>
            <w:tcW w:w="740" w:type="dxa"/>
            <w:vAlign w:val="bottom"/>
            <w:tcBorders>
              <w:bottom w:val="single" w:sz="8" w:color="auto"/>
              <w:right w:val="single" w:sz="8" w:color="auto"/>
            </w:tcBorders>
          </w:tcPr>
          <w:p>
            <w:pPr>
              <w:spacing w:after="0"/>
              <w:rPr>
                <w:sz w:val="2"/>
                <w:szCs w:val="2"/>
                <w:color w:val="auto"/>
              </w:rPr>
            </w:pPr>
          </w:p>
        </w:tc>
        <w:tc>
          <w:tcPr>
            <w:tcW w:w="720" w:type="dxa"/>
            <w:vAlign w:val="bottom"/>
            <w:tcBorders>
              <w:bottom w:val="single" w:sz="8" w:color="auto"/>
              <w:right w:val="single" w:sz="8" w:color="auto"/>
            </w:tcBorders>
          </w:tcPr>
          <w:p>
            <w:pPr>
              <w:spacing w:after="0"/>
              <w:rPr>
                <w:sz w:val="2"/>
                <w:szCs w:val="2"/>
                <w:color w:val="auto"/>
              </w:rPr>
            </w:pPr>
          </w:p>
        </w:tc>
        <w:tc>
          <w:tcPr>
            <w:tcW w:w="720" w:type="dxa"/>
            <w:vAlign w:val="bottom"/>
            <w:tcBorders>
              <w:bottom w:val="single" w:sz="8" w:color="auto"/>
              <w:right w:val="single" w:sz="8" w:color="auto"/>
            </w:tcBorders>
          </w:tcPr>
          <w:p>
            <w:pPr>
              <w:spacing w:after="0"/>
              <w:rPr>
                <w:sz w:val="2"/>
                <w:szCs w:val="2"/>
                <w:color w:val="auto"/>
              </w:rPr>
            </w:pPr>
          </w:p>
        </w:tc>
        <w:tc>
          <w:tcPr>
            <w:tcW w:w="720" w:type="dxa"/>
            <w:vAlign w:val="bottom"/>
            <w:tcBorders>
              <w:bottom w:val="single" w:sz="8" w:color="auto"/>
              <w:right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700" w:type="dxa"/>
            <w:vAlign w:val="bottom"/>
            <w:tcBorders>
              <w:bottom w:val="single" w:sz="8" w:color="auto"/>
              <w:right w:val="single" w:sz="8" w:color="auto"/>
            </w:tcBorders>
          </w:tcPr>
          <w:p>
            <w:pPr>
              <w:spacing w:after="0"/>
              <w:rPr>
                <w:sz w:val="2"/>
                <w:szCs w:val="2"/>
                <w:color w:val="auto"/>
              </w:rPr>
            </w:pPr>
          </w:p>
        </w:tc>
        <w:tc>
          <w:tcPr>
            <w:tcW w:w="720" w:type="dxa"/>
            <w:vAlign w:val="bottom"/>
            <w:tcBorders>
              <w:bottom w:val="single" w:sz="8" w:color="auto"/>
              <w:right w:val="single" w:sz="8" w:color="auto"/>
            </w:tcBorders>
          </w:tcPr>
          <w:p>
            <w:pPr>
              <w:spacing w:after="0"/>
              <w:rPr>
                <w:sz w:val="2"/>
                <w:szCs w:val="2"/>
                <w:color w:val="auto"/>
              </w:rPr>
            </w:pPr>
          </w:p>
        </w:tc>
        <w:tc>
          <w:tcPr>
            <w:tcW w:w="98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91"/>
        </w:trPr>
        <w:tc>
          <w:tcPr>
            <w:tcW w:w="4140" w:type="dxa"/>
            <w:vAlign w:val="bottom"/>
          </w:tcPr>
          <w:p>
            <w:pPr>
              <w:ind w:left="20"/>
              <w:spacing w:after="0" w:line="290" w:lineRule="exact"/>
              <w:rPr>
                <w:sz w:val="20"/>
                <w:szCs w:val="20"/>
                <w:color w:val="auto"/>
              </w:rPr>
            </w:pPr>
            <w:r>
              <w:rPr>
                <w:rFonts w:ascii="Times New Roman" w:cs="Times New Roman" w:eastAsia="Times New Roman" w:hAnsi="Times New Roman"/>
                <w:sz w:val="28"/>
                <w:szCs w:val="28"/>
                <w:color w:val="auto"/>
              </w:rPr>
              <w:t>Прибыль до вычета процентов и</w:t>
            </w:r>
          </w:p>
        </w:tc>
        <w:tc>
          <w:tcPr>
            <w:tcW w:w="740" w:type="dxa"/>
            <w:vAlign w:val="bottom"/>
            <w:tcBorders>
              <w:right w:val="single" w:sz="8" w:color="auto"/>
            </w:tcBorders>
          </w:tcPr>
          <w:p>
            <w:pPr>
              <w:jc w:val="center"/>
              <w:spacing w:after="0" w:line="290" w:lineRule="exact"/>
              <w:rPr>
                <w:sz w:val="20"/>
                <w:szCs w:val="20"/>
                <w:color w:val="auto"/>
              </w:rPr>
            </w:pPr>
            <w:r>
              <w:rPr>
                <w:rFonts w:ascii="Times New Roman" w:cs="Times New Roman" w:eastAsia="Times New Roman" w:hAnsi="Times New Roman"/>
                <w:sz w:val="28"/>
                <w:szCs w:val="28"/>
                <w:color w:val="auto"/>
                <w:w w:val="99"/>
              </w:rPr>
              <w:t>200</w:t>
            </w:r>
          </w:p>
        </w:tc>
        <w:tc>
          <w:tcPr>
            <w:tcW w:w="720" w:type="dxa"/>
            <w:vAlign w:val="bottom"/>
            <w:tcBorders>
              <w:right w:val="single" w:sz="8" w:color="auto"/>
            </w:tcBorders>
          </w:tcPr>
          <w:p>
            <w:pPr>
              <w:jc w:val="center"/>
              <w:spacing w:after="0" w:line="290" w:lineRule="exact"/>
              <w:rPr>
                <w:sz w:val="20"/>
                <w:szCs w:val="20"/>
                <w:color w:val="auto"/>
              </w:rPr>
            </w:pPr>
            <w:r>
              <w:rPr>
                <w:rFonts w:ascii="Times New Roman" w:cs="Times New Roman" w:eastAsia="Times New Roman" w:hAnsi="Times New Roman"/>
                <w:sz w:val="28"/>
                <w:szCs w:val="28"/>
                <w:color w:val="auto"/>
                <w:w w:val="99"/>
              </w:rPr>
              <w:t>240</w:t>
            </w:r>
          </w:p>
        </w:tc>
        <w:tc>
          <w:tcPr>
            <w:tcW w:w="720" w:type="dxa"/>
            <w:vAlign w:val="bottom"/>
            <w:tcBorders>
              <w:right w:val="single" w:sz="8" w:color="auto"/>
            </w:tcBorders>
          </w:tcPr>
          <w:p>
            <w:pPr>
              <w:jc w:val="center"/>
              <w:spacing w:after="0" w:line="290" w:lineRule="exact"/>
              <w:rPr>
                <w:sz w:val="20"/>
                <w:szCs w:val="20"/>
                <w:color w:val="auto"/>
              </w:rPr>
            </w:pPr>
            <w:r>
              <w:rPr>
                <w:rFonts w:ascii="Times New Roman" w:cs="Times New Roman" w:eastAsia="Times New Roman" w:hAnsi="Times New Roman"/>
                <w:sz w:val="28"/>
                <w:szCs w:val="28"/>
                <w:color w:val="auto"/>
                <w:w w:val="99"/>
              </w:rPr>
              <w:t>300</w:t>
            </w:r>
          </w:p>
        </w:tc>
        <w:tc>
          <w:tcPr>
            <w:tcW w:w="720" w:type="dxa"/>
            <w:vAlign w:val="bottom"/>
            <w:tcBorders>
              <w:right w:val="single" w:sz="8" w:color="auto"/>
            </w:tcBorders>
          </w:tcPr>
          <w:p>
            <w:pPr>
              <w:jc w:val="center"/>
              <w:spacing w:after="0" w:line="290" w:lineRule="exact"/>
              <w:rPr>
                <w:sz w:val="20"/>
                <w:szCs w:val="20"/>
                <w:color w:val="auto"/>
              </w:rPr>
            </w:pPr>
            <w:r>
              <w:rPr>
                <w:rFonts w:ascii="Times New Roman" w:cs="Times New Roman" w:eastAsia="Times New Roman" w:hAnsi="Times New Roman"/>
                <w:sz w:val="28"/>
                <w:szCs w:val="28"/>
                <w:color w:val="auto"/>
                <w:w w:val="99"/>
              </w:rPr>
              <w:t>300</w:t>
            </w:r>
          </w:p>
        </w:tc>
        <w:tc>
          <w:tcPr>
            <w:tcW w:w="100" w:type="dxa"/>
            <w:vAlign w:val="bottom"/>
          </w:tcPr>
          <w:p>
            <w:pPr>
              <w:spacing w:after="0"/>
              <w:rPr>
                <w:sz w:val="24"/>
                <w:szCs w:val="24"/>
                <w:color w:val="auto"/>
              </w:rPr>
            </w:pPr>
          </w:p>
        </w:tc>
        <w:tc>
          <w:tcPr>
            <w:tcW w:w="700" w:type="dxa"/>
            <w:vAlign w:val="bottom"/>
            <w:tcBorders>
              <w:right w:val="single" w:sz="8" w:color="auto"/>
            </w:tcBorders>
          </w:tcPr>
          <w:p>
            <w:pPr>
              <w:jc w:val="center"/>
              <w:spacing w:after="0" w:line="290" w:lineRule="exact"/>
              <w:rPr>
                <w:sz w:val="20"/>
                <w:szCs w:val="20"/>
                <w:color w:val="auto"/>
              </w:rPr>
            </w:pPr>
            <w:r>
              <w:rPr>
                <w:rFonts w:ascii="Times New Roman" w:cs="Times New Roman" w:eastAsia="Times New Roman" w:hAnsi="Times New Roman"/>
                <w:sz w:val="28"/>
                <w:szCs w:val="28"/>
                <w:color w:val="auto"/>
                <w:w w:val="99"/>
              </w:rPr>
              <w:t>300</w:t>
            </w:r>
          </w:p>
        </w:tc>
        <w:tc>
          <w:tcPr>
            <w:tcW w:w="720" w:type="dxa"/>
            <w:vAlign w:val="bottom"/>
            <w:tcBorders>
              <w:right w:val="single" w:sz="8" w:color="auto"/>
            </w:tcBorders>
          </w:tcPr>
          <w:p>
            <w:pPr>
              <w:jc w:val="center"/>
              <w:spacing w:after="0" w:line="290" w:lineRule="exact"/>
              <w:rPr>
                <w:sz w:val="20"/>
                <w:szCs w:val="20"/>
                <w:color w:val="auto"/>
              </w:rPr>
            </w:pPr>
            <w:r>
              <w:rPr>
                <w:rFonts w:ascii="Times New Roman" w:cs="Times New Roman" w:eastAsia="Times New Roman" w:hAnsi="Times New Roman"/>
                <w:sz w:val="28"/>
                <w:szCs w:val="28"/>
                <w:color w:val="auto"/>
                <w:w w:val="99"/>
              </w:rPr>
              <w:t>300</w:t>
            </w:r>
          </w:p>
        </w:tc>
        <w:tc>
          <w:tcPr>
            <w:tcW w:w="980" w:type="dxa"/>
            <w:vAlign w:val="bottom"/>
          </w:tcPr>
          <w:p>
            <w:pPr>
              <w:jc w:val="center"/>
              <w:spacing w:after="0" w:line="290" w:lineRule="exact"/>
              <w:rPr>
                <w:sz w:val="20"/>
                <w:szCs w:val="20"/>
                <w:color w:val="auto"/>
              </w:rPr>
            </w:pPr>
            <w:r>
              <w:rPr>
                <w:rFonts w:ascii="Times New Roman" w:cs="Times New Roman" w:eastAsia="Times New Roman" w:hAnsi="Times New Roman"/>
                <w:sz w:val="28"/>
                <w:szCs w:val="28"/>
                <w:color w:val="auto"/>
                <w:w w:val="99"/>
              </w:rPr>
              <w:t>300</w:t>
            </w:r>
          </w:p>
        </w:tc>
        <w:tc>
          <w:tcPr>
            <w:tcW w:w="0" w:type="dxa"/>
            <w:vAlign w:val="bottom"/>
          </w:tcPr>
          <w:p>
            <w:pPr>
              <w:spacing w:after="0"/>
              <w:rPr>
                <w:sz w:val="1"/>
                <w:szCs w:val="1"/>
                <w:color w:val="auto"/>
              </w:rPr>
            </w:pPr>
          </w:p>
        </w:tc>
      </w:tr>
      <w:tr>
        <w:trPr>
          <w:trHeight w:val="343"/>
        </w:trPr>
        <w:tc>
          <w:tcPr>
            <w:tcW w:w="4140" w:type="dxa"/>
            <w:vAlign w:val="bottom"/>
            <w:tcBorders>
              <w:bottom w:val="single" w:sz="8" w:color="auto"/>
            </w:tcBorders>
          </w:tcPr>
          <w:p>
            <w:pPr>
              <w:ind w:left="20"/>
              <w:spacing w:after="0"/>
              <w:rPr>
                <w:sz w:val="20"/>
                <w:szCs w:val="20"/>
                <w:color w:val="auto"/>
              </w:rPr>
            </w:pPr>
            <w:r>
              <w:rPr>
                <w:rFonts w:ascii="Times New Roman" w:cs="Times New Roman" w:eastAsia="Times New Roman" w:hAnsi="Times New Roman"/>
                <w:sz w:val="28"/>
                <w:szCs w:val="28"/>
                <w:color w:val="auto"/>
              </w:rPr>
              <w:t>налогов</w:t>
            </w:r>
          </w:p>
        </w:tc>
        <w:tc>
          <w:tcPr>
            <w:tcW w:w="740" w:type="dxa"/>
            <w:vAlign w:val="bottom"/>
            <w:tcBorders>
              <w:bottom w:val="single" w:sz="8" w:color="auto"/>
              <w:right w:val="single" w:sz="8" w:color="auto"/>
            </w:tcBorders>
          </w:tcPr>
          <w:p>
            <w:pPr>
              <w:spacing w:after="0"/>
              <w:rPr>
                <w:sz w:val="24"/>
                <w:szCs w:val="24"/>
                <w:color w:val="auto"/>
              </w:rPr>
            </w:pPr>
          </w:p>
        </w:tc>
        <w:tc>
          <w:tcPr>
            <w:tcW w:w="720" w:type="dxa"/>
            <w:vAlign w:val="bottom"/>
            <w:tcBorders>
              <w:bottom w:val="single" w:sz="8" w:color="auto"/>
              <w:right w:val="single" w:sz="8" w:color="auto"/>
            </w:tcBorders>
          </w:tcPr>
          <w:p>
            <w:pPr>
              <w:spacing w:after="0"/>
              <w:rPr>
                <w:sz w:val="24"/>
                <w:szCs w:val="24"/>
                <w:color w:val="auto"/>
              </w:rPr>
            </w:pPr>
          </w:p>
        </w:tc>
        <w:tc>
          <w:tcPr>
            <w:tcW w:w="720" w:type="dxa"/>
            <w:vAlign w:val="bottom"/>
            <w:tcBorders>
              <w:bottom w:val="single" w:sz="8" w:color="auto"/>
              <w:right w:val="single" w:sz="8" w:color="auto"/>
            </w:tcBorders>
          </w:tcPr>
          <w:p>
            <w:pPr>
              <w:spacing w:after="0"/>
              <w:rPr>
                <w:sz w:val="24"/>
                <w:szCs w:val="24"/>
                <w:color w:val="auto"/>
              </w:rPr>
            </w:pPr>
          </w:p>
        </w:tc>
        <w:tc>
          <w:tcPr>
            <w:tcW w:w="720" w:type="dxa"/>
            <w:vAlign w:val="bottom"/>
            <w:tcBorders>
              <w:bottom w:val="single" w:sz="8" w:color="auto"/>
              <w:right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700" w:type="dxa"/>
            <w:vAlign w:val="bottom"/>
            <w:tcBorders>
              <w:bottom w:val="single" w:sz="8" w:color="auto"/>
              <w:right w:val="single" w:sz="8" w:color="auto"/>
            </w:tcBorders>
          </w:tcPr>
          <w:p>
            <w:pPr>
              <w:spacing w:after="0"/>
              <w:rPr>
                <w:sz w:val="24"/>
                <w:szCs w:val="24"/>
                <w:color w:val="auto"/>
              </w:rPr>
            </w:pPr>
          </w:p>
        </w:tc>
        <w:tc>
          <w:tcPr>
            <w:tcW w:w="720" w:type="dxa"/>
            <w:vAlign w:val="bottom"/>
            <w:tcBorders>
              <w:bottom w:val="single" w:sz="8" w:color="auto"/>
              <w:right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91"/>
        </w:trPr>
        <w:tc>
          <w:tcPr>
            <w:tcW w:w="4140" w:type="dxa"/>
            <w:vAlign w:val="bottom"/>
          </w:tcPr>
          <w:p>
            <w:pPr>
              <w:ind w:left="20"/>
              <w:spacing w:after="0" w:line="290" w:lineRule="exact"/>
              <w:rPr>
                <w:sz w:val="20"/>
                <w:szCs w:val="20"/>
                <w:color w:val="auto"/>
              </w:rPr>
            </w:pPr>
            <w:r>
              <w:rPr>
                <w:rFonts w:ascii="Times New Roman" w:cs="Times New Roman" w:eastAsia="Times New Roman" w:hAnsi="Times New Roman"/>
                <w:sz w:val="28"/>
                <w:szCs w:val="28"/>
                <w:color w:val="auto"/>
              </w:rPr>
              <w:t>Чистая операционная прибыль</w:t>
            </w:r>
          </w:p>
        </w:tc>
        <w:tc>
          <w:tcPr>
            <w:tcW w:w="740" w:type="dxa"/>
            <w:vAlign w:val="bottom"/>
            <w:tcBorders>
              <w:right w:val="single" w:sz="8" w:color="auto"/>
            </w:tcBorders>
          </w:tcPr>
          <w:p>
            <w:pPr>
              <w:jc w:val="center"/>
              <w:spacing w:after="0" w:line="290" w:lineRule="exact"/>
              <w:rPr>
                <w:sz w:val="20"/>
                <w:szCs w:val="20"/>
                <w:color w:val="auto"/>
              </w:rPr>
            </w:pPr>
            <w:r>
              <w:rPr>
                <w:rFonts w:ascii="Times New Roman" w:cs="Times New Roman" w:eastAsia="Times New Roman" w:hAnsi="Times New Roman"/>
                <w:sz w:val="28"/>
                <w:szCs w:val="28"/>
                <w:color w:val="auto"/>
                <w:w w:val="99"/>
              </w:rPr>
              <w:t>152</w:t>
            </w:r>
          </w:p>
        </w:tc>
        <w:tc>
          <w:tcPr>
            <w:tcW w:w="720" w:type="dxa"/>
            <w:vAlign w:val="bottom"/>
            <w:tcBorders>
              <w:right w:val="single" w:sz="8" w:color="auto"/>
            </w:tcBorders>
          </w:tcPr>
          <w:p>
            <w:pPr>
              <w:jc w:val="center"/>
              <w:spacing w:after="0" w:line="290" w:lineRule="exact"/>
              <w:rPr>
                <w:sz w:val="20"/>
                <w:szCs w:val="20"/>
                <w:color w:val="auto"/>
              </w:rPr>
            </w:pPr>
            <w:r>
              <w:rPr>
                <w:rFonts w:ascii="Times New Roman" w:cs="Times New Roman" w:eastAsia="Times New Roman" w:hAnsi="Times New Roman"/>
                <w:sz w:val="28"/>
                <w:szCs w:val="28"/>
                <w:color w:val="auto"/>
                <w:w w:val="99"/>
              </w:rPr>
              <w:t>182</w:t>
            </w:r>
          </w:p>
        </w:tc>
        <w:tc>
          <w:tcPr>
            <w:tcW w:w="720" w:type="dxa"/>
            <w:vAlign w:val="bottom"/>
            <w:tcBorders>
              <w:right w:val="single" w:sz="8" w:color="auto"/>
            </w:tcBorders>
          </w:tcPr>
          <w:p>
            <w:pPr>
              <w:jc w:val="center"/>
              <w:spacing w:after="0" w:line="290" w:lineRule="exact"/>
              <w:rPr>
                <w:sz w:val="20"/>
                <w:szCs w:val="20"/>
                <w:color w:val="auto"/>
              </w:rPr>
            </w:pPr>
            <w:r>
              <w:rPr>
                <w:rFonts w:ascii="Times New Roman" w:cs="Times New Roman" w:eastAsia="Times New Roman" w:hAnsi="Times New Roman"/>
                <w:sz w:val="28"/>
                <w:szCs w:val="28"/>
                <w:color w:val="auto"/>
                <w:w w:val="99"/>
              </w:rPr>
              <w:t>228</w:t>
            </w:r>
          </w:p>
        </w:tc>
        <w:tc>
          <w:tcPr>
            <w:tcW w:w="720" w:type="dxa"/>
            <w:vAlign w:val="bottom"/>
            <w:tcBorders>
              <w:right w:val="single" w:sz="8" w:color="auto"/>
            </w:tcBorders>
          </w:tcPr>
          <w:p>
            <w:pPr>
              <w:jc w:val="center"/>
              <w:spacing w:after="0" w:line="290" w:lineRule="exact"/>
              <w:rPr>
                <w:sz w:val="20"/>
                <w:szCs w:val="20"/>
                <w:color w:val="auto"/>
              </w:rPr>
            </w:pPr>
            <w:r>
              <w:rPr>
                <w:rFonts w:ascii="Times New Roman" w:cs="Times New Roman" w:eastAsia="Times New Roman" w:hAnsi="Times New Roman"/>
                <w:sz w:val="28"/>
                <w:szCs w:val="28"/>
                <w:color w:val="auto"/>
                <w:w w:val="99"/>
              </w:rPr>
              <w:t>228</w:t>
            </w:r>
          </w:p>
        </w:tc>
        <w:tc>
          <w:tcPr>
            <w:tcW w:w="100" w:type="dxa"/>
            <w:vAlign w:val="bottom"/>
          </w:tcPr>
          <w:p>
            <w:pPr>
              <w:spacing w:after="0"/>
              <w:rPr>
                <w:sz w:val="24"/>
                <w:szCs w:val="24"/>
                <w:color w:val="auto"/>
              </w:rPr>
            </w:pPr>
          </w:p>
        </w:tc>
        <w:tc>
          <w:tcPr>
            <w:tcW w:w="700" w:type="dxa"/>
            <w:vAlign w:val="bottom"/>
            <w:tcBorders>
              <w:right w:val="single" w:sz="8" w:color="auto"/>
            </w:tcBorders>
          </w:tcPr>
          <w:p>
            <w:pPr>
              <w:jc w:val="center"/>
              <w:spacing w:after="0" w:line="290" w:lineRule="exact"/>
              <w:rPr>
                <w:sz w:val="20"/>
                <w:szCs w:val="20"/>
                <w:color w:val="auto"/>
              </w:rPr>
            </w:pPr>
            <w:r>
              <w:rPr>
                <w:rFonts w:ascii="Times New Roman" w:cs="Times New Roman" w:eastAsia="Times New Roman" w:hAnsi="Times New Roman"/>
                <w:sz w:val="28"/>
                <w:szCs w:val="28"/>
                <w:color w:val="auto"/>
                <w:w w:val="99"/>
              </w:rPr>
              <w:t>228</w:t>
            </w:r>
          </w:p>
        </w:tc>
        <w:tc>
          <w:tcPr>
            <w:tcW w:w="720" w:type="dxa"/>
            <w:vAlign w:val="bottom"/>
            <w:tcBorders>
              <w:right w:val="single" w:sz="8" w:color="auto"/>
            </w:tcBorders>
          </w:tcPr>
          <w:p>
            <w:pPr>
              <w:jc w:val="center"/>
              <w:spacing w:after="0" w:line="290" w:lineRule="exact"/>
              <w:rPr>
                <w:sz w:val="20"/>
                <w:szCs w:val="20"/>
                <w:color w:val="auto"/>
              </w:rPr>
            </w:pPr>
            <w:r>
              <w:rPr>
                <w:rFonts w:ascii="Times New Roman" w:cs="Times New Roman" w:eastAsia="Times New Roman" w:hAnsi="Times New Roman"/>
                <w:sz w:val="28"/>
                <w:szCs w:val="28"/>
                <w:color w:val="auto"/>
                <w:w w:val="99"/>
              </w:rPr>
              <w:t>228</w:t>
            </w:r>
          </w:p>
        </w:tc>
        <w:tc>
          <w:tcPr>
            <w:tcW w:w="980" w:type="dxa"/>
            <w:vAlign w:val="bottom"/>
          </w:tcPr>
          <w:p>
            <w:pPr>
              <w:jc w:val="center"/>
              <w:spacing w:after="0" w:line="290" w:lineRule="exact"/>
              <w:rPr>
                <w:sz w:val="20"/>
                <w:szCs w:val="20"/>
                <w:color w:val="auto"/>
              </w:rPr>
            </w:pPr>
            <w:r>
              <w:rPr>
                <w:rFonts w:ascii="Times New Roman" w:cs="Times New Roman" w:eastAsia="Times New Roman" w:hAnsi="Times New Roman"/>
                <w:sz w:val="28"/>
                <w:szCs w:val="28"/>
                <w:color w:val="auto"/>
                <w:w w:val="99"/>
              </w:rPr>
              <w:t>228</w:t>
            </w:r>
          </w:p>
        </w:tc>
        <w:tc>
          <w:tcPr>
            <w:tcW w:w="0" w:type="dxa"/>
            <w:vAlign w:val="bottom"/>
          </w:tcPr>
          <w:p>
            <w:pPr>
              <w:spacing w:after="0"/>
              <w:rPr>
                <w:sz w:val="1"/>
                <w:szCs w:val="1"/>
                <w:color w:val="auto"/>
              </w:rPr>
            </w:pPr>
          </w:p>
        </w:tc>
      </w:tr>
      <w:tr>
        <w:trPr>
          <w:trHeight w:val="343"/>
        </w:trPr>
        <w:tc>
          <w:tcPr>
            <w:tcW w:w="4140" w:type="dxa"/>
            <w:vAlign w:val="bottom"/>
            <w:tcBorders>
              <w:bottom w:val="single" w:sz="8" w:color="auto"/>
            </w:tcBorders>
          </w:tcPr>
          <w:p>
            <w:pPr>
              <w:ind w:left="20"/>
              <w:spacing w:after="0"/>
              <w:rPr>
                <w:sz w:val="20"/>
                <w:szCs w:val="20"/>
                <w:color w:val="auto"/>
              </w:rPr>
            </w:pPr>
            <w:r>
              <w:rPr>
                <w:rFonts w:ascii="Times New Roman" w:cs="Times New Roman" w:eastAsia="Times New Roman" w:hAnsi="Times New Roman"/>
                <w:sz w:val="28"/>
                <w:szCs w:val="28"/>
                <w:color w:val="auto"/>
              </w:rPr>
              <w:t>после налогообложения</w:t>
            </w:r>
          </w:p>
        </w:tc>
        <w:tc>
          <w:tcPr>
            <w:tcW w:w="740" w:type="dxa"/>
            <w:vAlign w:val="bottom"/>
            <w:tcBorders>
              <w:bottom w:val="single" w:sz="8" w:color="auto"/>
              <w:right w:val="single" w:sz="8" w:color="auto"/>
            </w:tcBorders>
          </w:tcPr>
          <w:p>
            <w:pPr>
              <w:spacing w:after="0"/>
              <w:rPr>
                <w:sz w:val="24"/>
                <w:szCs w:val="24"/>
                <w:color w:val="auto"/>
              </w:rPr>
            </w:pPr>
          </w:p>
        </w:tc>
        <w:tc>
          <w:tcPr>
            <w:tcW w:w="720" w:type="dxa"/>
            <w:vAlign w:val="bottom"/>
            <w:tcBorders>
              <w:bottom w:val="single" w:sz="8" w:color="auto"/>
              <w:right w:val="single" w:sz="8" w:color="auto"/>
            </w:tcBorders>
          </w:tcPr>
          <w:p>
            <w:pPr>
              <w:spacing w:after="0"/>
              <w:rPr>
                <w:sz w:val="24"/>
                <w:szCs w:val="24"/>
                <w:color w:val="auto"/>
              </w:rPr>
            </w:pPr>
          </w:p>
        </w:tc>
        <w:tc>
          <w:tcPr>
            <w:tcW w:w="720" w:type="dxa"/>
            <w:vAlign w:val="bottom"/>
            <w:tcBorders>
              <w:bottom w:val="single" w:sz="8" w:color="auto"/>
              <w:right w:val="single" w:sz="8" w:color="auto"/>
            </w:tcBorders>
          </w:tcPr>
          <w:p>
            <w:pPr>
              <w:spacing w:after="0"/>
              <w:rPr>
                <w:sz w:val="24"/>
                <w:szCs w:val="24"/>
                <w:color w:val="auto"/>
              </w:rPr>
            </w:pPr>
          </w:p>
        </w:tc>
        <w:tc>
          <w:tcPr>
            <w:tcW w:w="720" w:type="dxa"/>
            <w:vAlign w:val="bottom"/>
            <w:tcBorders>
              <w:bottom w:val="single" w:sz="8" w:color="auto"/>
              <w:right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700" w:type="dxa"/>
            <w:vAlign w:val="bottom"/>
            <w:tcBorders>
              <w:bottom w:val="single" w:sz="8" w:color="auto"/>
              <w:right w:val="single" w:sz="8" w:color="auto"/>
            </w:tcBorders>
          </w:tcPr>
          <w:p>
            <w:pPr>
              <w:spacing w:after="0"/>
              <w:rPr>
                <w:sz w:val="24"/>
                <w:szCs w:val="24"/>
                <w:color w:val="auto"/>
              </w:rPr>
            </w:pPr>
          </w:p>
        </w:tc>
        <w:tc>
          <w:tcPr>
            <w:tcW w:w="720" w:type="dxa"/>
            <w:vAlign w:val="bottom"/>
            <w:tcBorders>
              <w:bottom w:val="single" w:sz="8" w:color="auto"/>
              <w:right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12"/>
        </w:trPr>
        <w:tc>
          <w:tcPr>
            <w:tcW w:w="4140" w:type="dxa"/>
            <w:vAlign w:val="bottom"/>
            <w:tcBorders>
              <w:bottom w:val="single" w:sz="8" w:color="auto"/>
            </w:tcBorders>
          </w:tcPr>
          <w:p>
            <w:pPr>
              <w:ind w:left="20"/>
              <w:spacing w:after="0" w:line="312" w:lineRule="exact"/>
              <w:rPr>
                <w:sz w:val="20"/>
                <w:szCs w:val="20"/>
                <w:color w:val="auto"/>
              </w:rPr>
            </w:pPr>
            <w:r>
              <w:rPr>
                <w:rFonts w:ascii="Times New Roman" w:cs="Times New Roman" w:eastAsia="Times New Roman" w:hAnsi="Times New Roman"/>
                <w:sz w:val="28"/>
                <w:szCs w:val="28"/>
                <w:color w:val="auto"/>
              </w:rPr>
              <w:t>Инвестированный капитал</w:t>
            </w:r>
          </w:p>
        </w:tc>
        <w:tc>
          <w:tcPr>
            <w:tcW w:w="740" w:type="dxa"/>
            <w:vAlign w:val="bottom"/>
            <w:tcBorders>
              <w:bottom w:val="single" w:sz="8" w:color="auto"/>
              <w:right w:val="single" w:sz="8" w:color="auto"/>
            </w:tcBorders>
          </w:tcPr>
          <w:p>
            <w:pPr>
              <w:jc w:val="center"/>
              <w:spacing w:after="0" w:line="312" w:lineRule="exact"/>
              <w:rPr>
                <w:sz w:val="20"/>
                <w:szCs w:val="20"/>
                <w:color w:val="auto"/>
              </w:rPr>
            </w:pPr>
            <w:r>
              <w:rPr>
                <w:rFonts w:ascii="Times New Roman" w:cs="Times New Roman" w:eastAsia="Times New Roman" w:hAnsi="Times New Roman"/>
                <w:sz w:val="28"/>
                <w:szCs w:val="28"/>
                <w:color w:val="auto"/>
                <w:w w:val="99"/>
              </w:rPr>
              <w:t>1500</w:t>
            </w:r>
          </w:p>
        </w:tc>
        <w:tc>
          <w:tcPr>
            <w:tcW w:w="720" w:type="dxa"/>
            <w:vAlign w:val="bottom"/>
            <w:tcBorders>
              <w:bottom w:val="single" w:sz="8" w:color="auto"/>
              <w:right w:val="single" w:sz="8" w:color="auto"/>
            </w:tcBorders>
          </w:tcPr>
          <w:p>
            <w:pPr>
              <w:jc w:val="center"/>
              <w:spacing w:after="0" w:line="312" w:lineRule="exact"/>
              <w:rPr>
                <w:sz w:val="20"/>
                <w:szCs w:val="20"/>
                <w:color w:val="auto"/>
              </w:rPr>
            </w:pPr>
            <w:r>
              <w:rPr>
                <w:rFonts w:ascii="Times New Roman" w:cs="Times New Roman" w:eastAsia="Times New Roman" w:hAnsi="Times New Roman"/>
                <w:sz w:val="28"/>
                <w:szCs w:val="28"/>
                <w:color w:val="auto"/>
                <w:w w:val="99"/>
              </w:rPr>
              <w:t>1600</w:t>
            </w:r>
          </w:p>
        </w:tc>
        <w:tc>
          <w:tcPr>
            <w:tcW w:w="720" w:type="dxa"/>
            <w:vAlign w:val="bottom"/>
            <w:tcBorders>
              <w:bottom w:val="single" w:sz="8" w:color="auto"/>
              <w:right w:val="single" w:sz="8" w:color="auto"/>
            </w:tcBorders>
          </w:tcPr>
          <w:p>
            <w:pPr>
              <w:jc w:val="center"/>
              <w:spacing w:after="0" w:line="312" w:lineRule="exact"/>
              <w:rPr>
                <w:sz w:val="20"/>
                <w:szCs w:val="20"/>
                <w:color w:val="auto"/>
              </w:rPr>
            </w:pPr>
            <w:r>
              <w:rPr>
                <w:rFonts w:ascii="Times New Roman" w:cs="Times New Roman" w:eastAsia="Times New Roman" w:hAnsi="Times New Roman"/>
                <w:sz w:val="28"/>
                <w:szCs w:val="28"/>
                <w:color w:val="auto"/>
                <w:w w:val="99"/>
              </w:rPr>
              <w:t>1200</w:t>
            </w:r>
          </w:p>
        </w:tc>
        <w:tc>
          <w:tcPr>
            <w:tcW w:w="720" w:type="dxa"/>
            <w:vAlign w:val="bottom"/>
            <w:tcBorders>
              <w:bottom w:val="single" w:sz="8" w:color="auto"/>
              <w:right w:val="single" w:sz="8" w:color="auto"/>
            </w:tcBorders>
          </w:tcPr>
          <w:p>
            <w:pPr>
              <w:jc w:val="center"/>
              <w:spacing w:after="0" w:line="312" w:lineRule="exact"/>
              <w:rPr>
                <w:sz w:val="20"/>
                <w:szCs w:val="20"/>
                <w:color w:val="auto"/>
              </w:rPr>
            </w:pPr>
            <w:r>
              <w:rPr>
                <w:rFonts w:ascii="Times New Roman" w:cs="Times New Roman" w:eastAsia="Times New Roman" w:hAnsi="Times New Roman"/>
                <w:sz w:val="28"/>
                <w:szCs w:val="28"/>
                <w:color w:val="auto"/>
                <w:w w:val="99"/>
              </w:rPr>
              <w:t>1200</w:t>
            </w:r>
          </w:p>
        </w:tc>
        <w:tc>
          <w:tcPr>
            <w:tcW w:w="100" w:type="dxa"/>
            <w:vAlign w:val="bottom"/>
            <w:tcBorders>
              <w:bottom w:val="single" w:sz="8" w:color="auto"/>
            </w:tcBorders>
          </w:tcPr>
          <w:p>
            <w:pPr>
              <w:spacing w:after="0"/>
              <w:rPr>
                <w:sz w:val="24"/>
                <w:szCs w:val="24"/>
                <w:color w:val="auto"/>
              </w:rPr>
            </w:pPr>
          </w:p>
        </w:tc>
        <w:tc>
          <w:tcPr>
            <w:tcW w:w="700" w:type="dxa"/>
            <w:vAlign w:val="bottom"/>
            <w:tcBorders>
              <w:bottom w:val="single" w:sz="8" w:color="auto"/>
              <w:right w:val="single" w:sz="8" w:color="auto"/>
            </w:tcBorders>
          </w:tcPr>
          <w:p>
            <w:pPr>
              <w:jc w:val="center"/>
              <w:spacing w:after="0" w:line="312" w:lineRule="exact"/>
              <w:rPr>
                <w:sz w:val="20"/>
                <w:szCs w:val="20"/>
                <w:color w:val="auto"/>
              </w:rPr>
            </w:pPr>
            <w:r>
              <w:rPr>
                <w:rFonts w:ascii="Times New Roman" w:cs="Times New Roman" w:eastAsia="Times New Roman" w:hAnsi="Times New Roman"/>
                <w:sz w:val="28"/>
                <w:szCs w:val="28"/>
                <w:color w:val="auto"/>
                <w:w w:val="99"/>
              </w:rPr>
              <w:t>1200</w:t>
            </w:r>
          </w:p>
        </w:tc>
        <w:tc>
          <w:tcPr>
            <w:tcW w:w="720" w:type="dxa"/>
            <w:vAlign w:val="bottom"/>
            <w:tcBorders>
              <w:bottom w:val="single" w:sz="8" w:color="auto"/>
              <w:right w:val="single" w:sz="8" w:color="auto"/>
            </w:tcBorders>
          </w:tcPr>
          <w:p>
            <w:pPr>
              <w:jc w:val="center"/>
              <w:spacing w:after="0" w:line="312" w:lineRule="exact"/>
              <w:rPr>
                <w:sz w:val="20"/>
                <w:szCs w:val="20"/>
                <w:color w:val="auto"/>
              </w:rPr>
            </w:pPr>
            <w:r>
              <w:rPr>
                <w:rFonts w:ascii="Times New Roman" w:cs="Times New Roman" w:eastAsia="Times New Roman" w:hAnsi="Times New Roman"/>
                <w:sz w:val="28"/>
                <w:szCs w:val="28"/>
                <w:color w:val="auto"/>
                <w:w w:val="99"/>
              </w:rPr>
              <w:t>1200</w:t>
            </w:r>
          </w:p>
        </w:tc>
        <w:tc>
          <w:tcPr>
            <w:tcW w:w="980" w:type="dxa"/>
            <w:vAlign w:val="bottom"/>
            <w:tcBorders>
              <w:bottom w:val="single" w:sz="8" w:color="auto"/>
            </w:tcBorders>
          </w:tcPr>
          <w:p>
            <w:pPr>
              <w:jc w:val="center"/>
              <w:spacing w:after="0" w:line="312" w:lineRule="exact"/>
              <w:rPr>
                <w:sz w:val="20"/>
                <w:szCs w:val="20"/>
                <w:color w:val="auto"/>
              </w:rPr>
            </w:pPr>
            <w:r>
              <w:rPr>
                <w:rFonts w:ascii="Times New Roman" w:cs="Times New Roman" w:eastAsia="Times New Roman" w:hAnsi="Times New Roman"/>
                <w:sz w:val="28"/>
                <w:szCs w:val="28"/>
                <w:color w:val="auto"/>
                <w:w w:val="99"/>
              </w:rPr>
              <w:t>900</w:t>
            </w:r>
          </w:p>
        </w:tc>
        <w:tc>
          <w:tcPr>
            <w:tcW w:w="0" w:type="dxa"/>
            <w:vAlign w:val="bottom"/>
          </w:tcPr>
          <w:p>
            <w:pPr>
              <w:spacing w:after="0"/>
              <w:rPr>
                <w:sz w:val="1"/>
                <w:szCs w:val="1"/>
                <w:color w:val="auto"/>
              </w:rPr>
            </w:pPr>
          </w:p>
        </w:tc>
      </w:tr>
      <w:tr>
        <w:trPr>
          <w:trHeight w:val="320"/>
        </w:trPr>
        <w:tc>
          <w:tcPr>
            <w:tcW w:w="4140" w:type="dxa"/>
            <w:vAlign w:val="bottom"/>
            <w:tcBorders>
              <w:bottom w:val="single" w:sz="8" w:color="auto"/>
            </w:tcBorders>
          </w:tcPr>
          <w:p>
            <w:pPr>
              <w:ind w:left="20"/>
              <w:spacing w:after="0" w:line="320" w:lineRule="exact"/>
              <w:rPr>
                <w:sz w:val="20"/>
                <w:szCs w:val="20"/>
                <w:color w:val="auto"/>
              </w:rPr>
            </w:pPr>
            <w:r>
              <w:rPr>
                <w:rFonts w:ascii="Times New Roman" w:cs="Times New Roman" w:eastAsia="Times New Roman" w:hAnsi="Times New Roman"/>
                <w:sz w:val="28"/>
                <w:szCs w:val="28"/>
                <w:color w:val="auto"/>
              </w:rPr>
              <w:t>Плата за капитал</w:t>
            </w:r>
          </w:p>
        </w:tc>
        <w:tc>
          <w:tcPr>
            <w:tcW w:w="740" w:type="dxa"/>
            <w:vAlign w:val="bottom"/>
            <w:tcBorders>
              <w:bottom w:val="single" w:sz="8" w:color="auto"/>
              <w:right w:val="single" w:sz="8" w:color="auto"/>
            </w:tcBorders>
          </w:tcPr>
          <w:p>
            <w:pPr>
              <w:jc w:val="center"/>
              <w:spacing w:after="0" w:line="320" w:lineRule="exact"/>
              <w:rPr>
                <w:sz w:val="20"/>
                <w:szCs w:val="20"/>
                <w:color w:val="auto"/>
              </w:rPr>
            </w:pPr>
            <w:r>
              <w:rPr>
                <w:rFonts w:ascii="Times New Roman" w:cs="Times New Roman" w:eastAsia="Times New Roman" w:hAnsi="Times New Roman"/>
                <w:sz w:val="28"/>
                <w:szCs w:val="28"/>
                <w:color w:val="auto"/>
                <w:w w:val="99"/>
              </w:rPr>
              <w:t>225</w:t>
            </w:r>
          </w:p>
        </w:tc>
        <w:tc>
          <w:tcPr>
            <w:tcW w:w="720" w:type="dxa"/>
            <w:vAlign w:val="bottom"/>
            <w:tcBorders>
              <w:bottom w:val="single" w:sz="8" w:color="auto"/>
              <w:right w:val="single" w:sz="8" w:color="auto"/>
            </w:tcBorders>
          </w:tcPr>
          <w:p>
            <w:pPr>
              <w:jc w:val="center"/>
              <w:spacing w:after="0" w:line="320" w:lineRule="exact"/>
              <w:rPr>
                <w:sz w:val="20"/>
                <w:szCs w:val="20"/>
                <w:color w:val="auto"/>
              </w:rPr>
            </w:pPr>
            <w:r>
              <w:rPr>
                <w:rFonts w:ascii="Times New Roman" w:cs="Times New Roman" w:eastAsia="Times New Roman" w:hAnsi="Times New Roman"/>
                <w:sz w:val="28"/>
                <w:szCs w:val="28"/>
                <w:color w:val="auto"/>
                <w:w w:val="99"/>
              </w:rPr>
              <w:t>240</w:t>
            </w:r>
          </w:p>
        </w:tc>
        <w:tc>
          <w:tcPr>
            <w:tcW w:w="720" w:type="dxa"/>
            <w:vAlign w:val="bottom"/>
            <w:tcBorders>
              <w:bottom w:val="single" w:sz="8" w:color="auto"/>
              <w:right w:val="single" w:sz="8" w:color="auto"/>
            </w:tcBorders>
          </w:tcPr>
          <w:p>
            <w:pPr>
              <w:jc w:val="center"/>
              <w:spacing w:after="0" w:line="320" w:lineRule="exact"/>
              <w:rPr>
                <w:sz w:val="20"/>
                <w:szCs w:val="20"/>
                <w:color w:val="auto"/>
              </w:rPr>
            </w:pPr>
            <w:r>
              <w:rPr>
                <w:rFonts w:ascii="Times New Roman" w:cs="Times New Roman" w:eastAsia="Times New Roman" w:hAnsi="Times New Roman"/>
                <w:sz w:val="28"/>
                <w:szCs w:val="28"/>
                <w:color w:val="auto"/>
                <w:w w:val="99"/>
              </w:rPr>
              <w:t>180</w:t>
            </w:r>
          </w:p>
        </w:tc>
        <w:tc>
          <w:tcPr>
            <w:tcW w:w="720" w:type="dxa"/>
            <w:vAlign w:val="bottom"/>
            <w:tcBorders>
              <w:bottom w:val="single" w:sz="8" w:color="auto"/>
              <w:right w:val="single" w:sz="8" w:color="auto"/>
            </w:tcBorders>
          </w:tcPr>
          <w:p>
            <w:pPr>
              <w:jc w:val="center"/>
              <w:spacing w:after="0" w:line="320" w:lineRule="exact"/>
              <w:rPr>
                <w:sz w:val="20"/>
                <w:szCs w:val="20"/>
                <w:color w:val="auto"/>
              </w:rPr>
            </w:pPr>
            <w:r>
              <w:rPr>
                <w:rFonts w:ascii="Times New Roman" w:cs="Times New Roman" w:eastAsia="Times New Roman" w:hAnsi="Times New Roman"/>
                <w:sz w:val="28"/>
                <w:szCs w:val="28"/>
                <w:color w:val="auto"/>
                <w:w w:val="99"/>
              </w:rPr>
              <w:t>180</w:t>
            </w:r>
          </w:p>
        </w:tc>
        <w:tc>
          <w:tcPr>
            <w:tcW w:w="100" w:type="dxa"/>
            <w:vAlign w:val="bottom"/>
            <w:tcBorders>
              <w:bottom w:val="single" w:sz="8" w:color="auto"/>
            </w:tcBorders>
          </w:tcPr>
          <w:p>
            <w:pPr>
              <w:spacing w:after="0"/>
              <w:rPr>
                <w:sz w:val="24"/>
                <w:szCs w:val="24"/>
                <w:color w:val="auto"/>
              </w:rPr>
            </w:pPr>
          </w:p>
        </w:tc>
        <w:tc>
          <w:tcPr>
            <w:tcW w:w="700" w:type="dxa"/>
            <w:vAlign w:val="bottom"/>
            <w:tcBorders>
              <w:bottom w:val="single" w:sz="8" w:color="auto"/>
              <w:right w:val="single" w:sz="8" w:color="auto"/>
            </w:tcBorders>
          </w:tcPr>
          <w:p>
            <w:pPr>
              <w:jc w:val="center"/>
              <w:spacing w:after="0" w:line="320" w:lineRule="exact"/>
              <w:rPr>
                <w:sz w:val="20"/>
                <w:szCs w:val="20"/>
                <w:color w:val="auto"/>
              </w:rPr>
            </w:pPr>
            <w:r>
              <w:rPr>
                <w:rFonts w:ascii="Times New Roman" w:cs="Times New Roman" w:eastAsia="Times New Roman" w:hAnsi="Times New Roman"/>
                <w:sz w:val="28"/>
                <w:szCs w:val="28"/>
                <w:color w:val="auto"/>
                <w:w w:val="99"/>
              </w:rPr>
              <w:t>180</w:t>
            </w:r>
          </w:p>
        </w:tc>
        <w:tc>
          <w:tcPr>
            <w:tcW w:w="720" w:type="dxa"/>
            <w:vAlign w:val="bottom"/>
            <w:tcBorders>
              <w:bottom w:val="single" w:sz="8" w:color="auto"/>
              <w:right w:val="single" w:sz="8" w:color="auto"/>
            </w:tcBorders>
          </w:tcPr>
          <w:p>
            <w:pPr>
              <w:jc w:val="center"/>
              <w:spacing w:after="0" w:line="320" w:lineRule="exact"/>
              <w:rPr>
                <w:sz w:val="20"/>
                <w:szCs w:val="20"/>
                <w:color w:val="auto"/>
              </w:rPr>
            </w:pPr>
            <w:r>
              <w:rPr>
                <w:rFonts w:ascii="Times New Roman" w:cs="Times New Roman" w:eastAsia="Times New Roman" w:hAnsi="Times New Roman"/>
                <w:sz w:val="28"/>
                <w:szCs w:val="28"/>
                <w:color w:val="auto"/>
                <w:w w:val="99"/>
              </w:rPr>
              <w:t>180</w:t>
            </w:r>
          </w:p>
        </w:tc>
        <w:tc>
          <w:tcPr>
            <w:tcW w:w="980" w:type="dxa"/>
            <w:vAlign w:val="bottom"/>
            <w:tcBorders>
              <w:bottom w:val="single" w:sz="8" w:color="auto"/>
            </w:tcBorders>
          </w:tcPr>
          <w:p>
            <w:pPr>
              <w:jc w:val="center"/>
              <w:spacing w:after="0" w:line="320" w:lineRule="exact"/>
              <w:rPr>
                <w:sz w:val="20"/>
                <w:szCs w:val="20"/>
                <w:color w:val="auto"/>
              </w:rPr>
            </w:pPr>
            <w:r>
              <w:rPr>
                <w:rFonts w:ascii="Times New Roman" w:cs="Times New Roman" w:eastAsia="Times New Roman" w:hAnsi="Times New Roman"/>
                <w:sz w:val="28"/>
                <w:szCs w:val="28"/>
                <w:color w:val="auto"/>
                <w:w w:val="99"/>
              </w:rPr>
              <w:t>135</w:t>
            </w:r>
          </w:p>
        </w:tc>
        <w:tc>
          <w:tcPr>
            <w:tcW w:w="0" w:type="dxa"/>
            <w:vAlign w:val="bottom"/>
          </w:tcPr>
          <w:p>
            <w:pPr>
              <w:spacing w:after="0"/>
              <w:rPr>
                <w:sz w:val="1"/>
                <w:szCs w:val="1"/>
                <w:color w:val="auto"/>
              </w:rPr>
            </w:pPr>
          </w:p>
        </w:tc>
      </w:tr>
      <w:tr>
        <w:trPr>
          <w:trHeight w:val="291"/>
        </w:trPr>
        <w:tc>
          <w:tcPr>
            <w:tcW w:w="4140" w:type="dxa"/>
            <w:vAlign w:val="bottom"/>
          </w:tcPr>
          <w:p>
            <w:pPr>
              <w:ind w:left="20"/>
              <w:spacing w:after="0" w:line="290" w:lineRule="exact"/>
              <w:rPr>
                <w:sz w:val="20"/>
                <w:szCs w:val="20"/>
                <w:color w:val="auto"/>
              </w:rPr>
            </w:pPr>
            <w:r>
              <w:rPr>
                <w:rFonts w:ascii="Times New Roman" w:cs="Times New Roman" w:eastAsia="Times New Roman" w:hAnsi="Times New Roman"/>
                <w:sz w:val="28"/>
                <w:szCs w:val="28"/>
                <w:color w:val="auto"/>
              </w:rPr>
              <w:t>Экономическая добавленная</w:t>
            </w:r>
          </w:p>
        </w:tc>
        <w:tc>
          <w:tcPr>
            <w:tcW w:w="740" w:type="dxa"/>
            <w:vAlign w:val="bottom"/>
            <w:tcBorders>
              <w:right w:val="single" w:sz="8" w:color="auto"/>
            </w:tcBorders>
          </w:tcPr>
          <w:p>
            <w:pPr>
              <w:jc w:val="center"/>
              <w:spacing w:after="0" w:line="290" w:lineRule="exact"/>
              <w:rPr>
                <w:sz w:val="20"/>
                <w:szCs w:val="20"/>
                <w:color w:val="auto"/>
              </w:rPr>
            </w:pPr>
            <w:r>
              <w:rPr>
                <w:rFonts w:ascii="Times New Roman" w:cs="Times New Roman" w:eastAsia="Times New Roman" w:hAnsi="Times New Roman"/>
                <w:sz w:val="28"/>
                <w:szCs w:val="28"/>
                <w:color w:val="auto"/>
                <w:w w:val="96"/>
              </w:rPr>
              <w:t>-73</w:t>
            </w:r>
          </w:p>
        </w:tc>
        <w:tc>
          <w:tcPr>
            <w:tcW w:w="720" w:type="dxa"/>
            <w:vAlign w:val="bottom"/>
            <w:tcBorders>
              <w:right w:val="single" w:sz="8" w:color="auto"/>
            </w:tcBorders>
          </w:tcPr>
          <w:p>
            <w:pPr>
              <w:jc w:val="center"/>
              <w:spacing w:after="0" w:line="290" w:lineRule="exact"/>
              <w:rPr>
                <w:sz w:val="20"/>
                <w:szCs w:val="20"/>
                <w:color w:val="auto"/>
              </w:rPr>
            </w:pPr>
            <w:r>
              <w:rPr>
                <w:rFonts w:ascii="Times New Roman" w:cs="Times New Roman" w:eastAsia="Times New Roman" w:hAnsi="Times New Roman"/>
                <w:sz w:val="28"/>
                <w:szCs w:val="28"/>
                <w:color w:val="auto"/>
                <w:w w:val="96"/>
              </w:rPr>
              <w:t>-58</w:t>
            </w:r>
          </w:p>
        </w:tc>
        <w:tc>
          <w:tcPr>
            <w:tcW w:w="720" w:type="dxa"/>
            <w:vAlign w:val="bottom"/>
            <w:tcBorders>
              <w:right w:val="single" w:sz="8" w:color="auto"/>
            </w:tcBorders>
          </w:tcPr>
          <w:p>
            <w:pPr>
              <w:jc w:val="center"/>
              <w:spacing w:after="0" w:line="290" w:lineRule="exact"/>
              <w:rPr>
                <w:sz w:val="20"/>
                <w:szCs w:val="20"/>
                <w:color w:val="auto"/>
              </w:rPr>
            </w:pPr>
            <w:r>
              <w:rPr>
                <w:rFonts w:ascii="Times New Roman" w:cs="Times New Roman" w:eastAsia="Times New Roman" w:hAnsi="Times New Roman"/>
                <w:sz w:val="28"/>
                <w:szCs w:val="28"/>
                <w:color w:val="auto"/>
                <w:w w:val="99"/>
              </w:rPr>
              <w:t>48</w:t>
            </w:r>
          </w:p>
        </w:tc>
        <w:tc>
          <w:tcPr>
            <w:tcW w:w="720" w:type="dxa"/>
            <w:vAlign w:val="bottom"/>
            <w:tcBorders>
              <w:right w:val="single" w:sz="8" w:color="auto"/>
            </w:tcBorders>
          </w:tcPr>
          <w:p>
            <w:pPr>
              <w:jc w:val="center"/>
              <w:spacing w:after="0" w:line="290" w:lineRule="exact"/>
              <w:rPr>
                <w:sz w:val="20"/>
                <w:szCs w:val="20"/>
                <w:color w:val="auto"/>
              </w:rPr>
            </w:pPr>
            <w:r>
              <w:rPr>
                <w:rFonts w:ascii="Times New Roman" w:cs="Times New Roman" w:eastAsia="Times New Roman" w:hAnsi="Times New Roman"/>
                <w:sz w:val="28"/>
                <w:szCs w:val="28"/>
                <w:color w:val="auto"/>
                <w:w w:val="99"/>
              </w:rPr>
              <w:t>48</w:t>
            </w:r>
          </w:p>
        </w:tc>
        <w:tc>
          <w:tcPr>
            <w:tcW w:w="100" w:type="dxa"/>
            <w:vAlign w:val="bottom"/>
          </w:tcPr>
          <w:p>
            <w:pPr>
              <w:spacing w:after="0"/>
              <w:rPr>
                <w:sz w:val="24"/>
                <w:szCs w:val="24"/>
                <w:color w:val="auto"/>
              </w:rPr>
            </w:pPr>
          </w:p>
        </w:tc>
        <w:tc>
          <w:tcPr>
            <w:tcW w:w="700" w:type="dxa"/>
            <w:vAlign w:val="bottom"/>
            <w:tcBorders>
              <w:right w:val="single" w:sz="8" w:color="auto"/>
            </w:tcBorders>
          </w:tcPr>
          <w:p>
            <w:pPr>
              <w:jc w:val="center"/>
              <w:spacing w:after="0" w:line="290" w:lineRule="exact"/>
              <w:rPr>
                <w:sz w:val="20"/>
                <w:szCs w:val="20"/>
                <w:color w:val="auto"/>
              </w:rPr>
            </w:pPr>
            <w:r>
              <w:rPr>
                <w:rFonts w:ascii="Times New Roman" w:cs="Times New Roman" w:eastAsia="Times New Roman" w:hAnsi="Times New Roman"/>
                <w:sz w:val="28"/>
                <w:szCs w:val="28"/>
                <w:color w:val="auto"/>
                <w:w w:val="99"/>
              </w:rPr>
              <w:t>48</w:t>
            </w:r>
          </w:p>
        </w:tc>
        <w:tc>
          <w:tcPr>
            <w:tcW w:w="720" w:type="dxa"/>
            <w:vAlign w:val="bottom"/>
            <w:tcBorders>
              <w:right w:val="single" w:sz="8" w:color="auto"/>
            </w:tcBorders>
          </w:tcPr>
          <w:p>
            <w:pPr>
              <w:jc w:val="center"/>
              <w:spacing w:after="0" w:line="290" w:lineRule="exact"/>
              <w:rPr>
                <w:sz w:val="20"/>
                <w:szCs w:val="20"/>
                <w:color w:val="auto"/>
              </w:rPr>
            </w:pPr>
            <w:r>
              <w:rPr>
                <w:rFonts w:ascii="Times New Roman" w:cs="Times New Roman" w:eastAsia="Times New Roman" w:hAnsi="Times New Roman"/>
                <w:sz w:val="28"/>
                <w:szCs w:val="28"/>
                <w:color w:val="auto"/>
                <w:w w:val="99"/>
              </w:rPr>
              <w:t>48</w:t>
            </w:r>
          </w:p>
        </w:tc>
        <w:tc>
          <w:tcPr>
            <w:tcW w:w="980" w:type="dxa"/>
            <w:vAlign w:val="bottom"/>
          </w:tcPr>
          <w:p>
            <w:pPr>
              <w:jc w:val="center"/>
              <w:spacing w:after="0" w:line="290" w:lineRule="exact"/>
              <w:rPr>
                <w:sz w:val="20"/>
                <w:szCs w:val="20"/>
                <w:color w:val="auto"/>
              </w:rPr>
            </w:pPr>
            <w:r>
              <w:rPr>
                <w:rFonts w:ascii="Times New Roman" w:cs="Times New Roman" w:eastAsia="Times New Roman" w:hAnsi="Times New Roman"/>
                <w:sz w:val="28"/>
                <w:szCs w:val="28"/>
                <w:color w:val="auto"/>
                <w:w w:val="99"/>
              </w:rPr>
              <w:t>93</w:t>
            </w:r>
          </w:p>
        </w:tc>
        <w:tc>
          <w:tcPr>
            <w:tcW w:w="0" w:type="dxa"/>
            <w:vAlign w:val="bottom"/>
          </w:tcPr>
          <w:p>
            <w:pPr>
              <w:spacing w:after="0"/>
              <w:rPr>
                <w:sz w:val="1"/>
                <w:szCs w:val="1"/>
                <w:color w:val="auto"/>
              </w:rPr>
            </w:pPr>
          </w:p>
        </w:tc>
      </w:tr>
      <w:tr>
        <w:trPr>
          <w:trHeight w:val="343"/>
        </w:trPr>
        <w:tc>
          <w:tcPr>
            <w:tcW w:w="4140" w:type="dxa"/>
            <w:vAlign w:val="bottom"/>
            <w:tcBorders>
              <w:bottom w:val="single" w:sz="8" w:color="auto"/>
            </w:tcBorders>
          </w:tcPr>
          <w:p>
            <w:pPr>
              <w:ind w:left="20"/>
              <w:spacing w:after="0"/>
              <w:rPr>
                <w:sz w:val="20"/>
                <w:szCs w:val="20"/>
                <w:color w:val="auto"/>
              </w:rPr>
            </w:pPr>
            <w:r>
              <w:rPr>
                <w:rFonts w:ascii="Times New Roman" w:cs="Times New Roman" w:eastAsia="Times New Roman" w:hAnsi="Times New Roman"/>
                <w:sz w:val="28"/>
                <w:szCs w:val="28"/>
                <w:color w:val="auto"/>
              </w:rPr>
              <w:t>стоимость</w:t>
            </w:r>
          </w:p>
        </w:tc>
        <w:tc>
          <w:tcPr>
            <w:tcW w:w="740" w:type="dxa"/>
            <w:vAlign w:val="bottom"/>
            <w:tcBorders>
              <w:bottom w:val="single" w:sz="8" w:color="auto"/>
              <w:right w:val="single" w:sz="8" w:color="auto"/>
            </w:tcBorders>
          </w:tcPr>
          <w:p>
            <w:pPr>
              <w:spacing w:after="0"/>
              <w:rPr>
                <w:sz w:val="24"/>
                <w:szCs w:val="24"/>
                <w:color w:val="auto"/>
              </w:rPr>
            </w:pPr>
          </w:p>
        </w:tc>
        <w:tc>
          <w:tcPr>
            <w:tcW w:w="720" w:type="dxa"/>
            <w:vAlign w:val="bottom"/>
            <w:tcBorders>
              <w:bottom w:val="single" w:sz="8" w:color="auto"/>
              <w:right w:val="single" w:sz="8" w:color="auto"/>
            </w:tcBorders>
          </w:tcPr>
          <w:p>
            <w:pPr>
              <w:spacing w:after="0"/>
              <w:rPr>
                <w:sz w:val="24"/>
                <w:szCs w:val="24"/>
                <w:color w:val="auto"/>
              </w:rPr>
            </w:pPr>
          </w:p>
        </w:tc>
        <w:tc>
          <w:tcPr>
            <w:tcW w:w="720" w:type="dxa"/>
            <w:vAlign w:val="bottom"/>
            <w:tcBorders>
              <w:bottom w:val="single" w:sz="8" w:color="auto"/>
              <w:right w:val="single" w:sz="8" w:color="auto"/>
            </w:tcBorders>
          </w:tcPr>
          <w:p>
            <w:pPr>
              <w:spacing w:after="0"/>
              <w:rPr>
                <w:sz w:val="24"/>
                <w:szCs w:val="24"/>
                <w:color w:val="auto"/>
              </w:rPr>
            </w:pPr>
          </w:p>
        </w:tc>
        <w:tc>
          <w:tcPr>
            <w:tcW w:w="720" w:type="dxa"/>
            <w:vAlign w:val="bottom"/>
            <w:tcBorders>
              <w:bottom w:val="single" w:sz="8" w:color="auto"/>
              <w:right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700" w:type="dxa"/>
            <w:vAlign w:val="bottom"/>
            <w:tcBorders>
              <w:bottom w:val="single" w:sz="8" w:color="auto"/>
              <w:right w:val="single" w:sz="8" w:color="auto"/>
            </w:tcBorders>
          </w:tcPr>
          <w:p>
            <w:pPr>
              <w:spacing w:after="0"/>
              <w:rPr>
                <w:sz w:val="24"/>
                <w:szCs w:val="24"/>
                <w:color w:val="auto"/>
              </w:rPr>
            </w:pPr>
          </w:p>
        </w:tc>
        <w:tc>
          <w:tcPr>
            <w:tcW w:w="720" w:type="dxa"/>
            <w:vAlign w:val="bottom"/>
            <w:tcBorders>
              <w:bottom w:val="single" w:sz="8" w:color="auto"/>
              <w:right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91"/>
        </w:trPr>
        <w:tc>
          <w:tcPr>
            <w:tcW w:w="4140" w:type="dxa"/>
            <w:vAlign w:val="bottom"/>
          </w:tcPr>
          <w:p>
            <w:pPr>
              <w:ind w:left="20"/>
              <w:spacing w:after="0" w:line="290" w:lineRule="exact"/>
              <w:rPr>
                <w:sz w:val="20"/>
                <w:szCs w:val="20"/>
                <w:color w:val="auto"/>
              </w:rPr>
            </w:pPr>
            <w:r>
              <w:rPr>
                <w:rFonts w:ascii="Times New Roman" w:cs="Times New Roman" w:eastAsia="Times New Roman" w:hAnsi="Times New Roman"/>
                <w:sz w:val="28"/>
                <w:szCs w:val="28"/>
                <w:color w:val="auto"/>
              </w:rPr>
              <w:t>Текущая стоимость</w:t>
            </w:r>
          </w:p>
        </w:tc>
        <w:tc>
          <w:tcPr>
            <w:tcW w:w="740" w:type="dxa"/>
            <w:vAlign w:val="bottom"/>
            <w:tcBorders>
              <w:right w:val="single" w:sz="8" w:color="auto"/>
            </w:tcBorders>
          </w:tcPr>
          <w:p>
            <w:pPr>
              <w:jc w:val="center"/>
              <w:spacing w:after="0" w:line="290" w:lineRule="exact"/>
              <w:rPr>
                <w:sz w:val="20"/>
                <w:szCs w:val="20"/>
                <w:color w:val="auto"/>
              </w:rPr>
            </w:pPr>
            <w:r>
              <w:rPr>
                <w:rFonts w:ascii="Times New Roman" w:cs="Times New Roman" w:eastAsia="Times New Roman" w:hAnsi="Times New Roman"/>
                <w:sz w:val="28"/>
                <w:szCs w:val="28"/>
                <w:color w:val="auto"/>
                <w:w w:val="96"/>
              </w:rPr>
              <w:t>-63</w:t>
            </w:r>
          </w:p>
        </w:tc>
        <w:tc>
          <w:tcPr>
            <w:tcW w:w="720" w:type="dxa"/>
            <w:vAlign w:val="bottom"/>
            <w:tcBorders>
              <w:right w:val="single" w:sz="8" w:color="auto"/>
            </w:tcBorders>
          </w:tcPr>
          <w:p>
            <w:pPr>
              <w:jc w:val="center"/>
              <w:spacing w:after="0" w:line="290" w:lineRule="exact"/>
              <w:rPr>
                <w:sz w:val="20"/>
                <w:szCs w:val="20"/>
                <w:color w:val="auto"/>
              </w:rPr>
            </w:pPr>
            <w:r>
              <w:rPr>
                <w:rFonts w:ascii="Times New Roman" w:cs="Times New Roman" w:eastAsia="Times New Roman" w:hAnsi="Times New Roman"/>
                <w:sz w:val="28"/>
                <w:szCs w:val="28"/>
                <w:color w:val="auto"/>
                <w:w w:val="96"/>
              </w:rPr>
              <w:t>-44</w:t>
            </w:r>
          </w:p>
        </w:tc>
        <w:tc>
          <w:tcPr>
            <w:tcW w:w="720" w:type="dxa"/>
            <w:vAlign w:val="bottom"/>
            <w:tcBorders>
              <w:right w:val="single" w:sz="8" w:color="auto"/>
            </w:tcBorders>
          </w:tcPr>
          <w:p>
            <w:pPr>
              <w:jc w:val="center"/>
              <w:spacing w:after="0" w:line="290" w:lineRule="exact"/>
              <w:rPr>
                <w:sz w:val="20"/>
                <w:szCs w:val="20"/>
                <w:color w:val="auto"/>
              </w:rPr>
            </w:pPr>
            <w:r>
              <w:rPr>
                <w:rFonts w:ascii="Times New Roman" w:cs="Times New Roman" w:eastAsia="Times New Roman" w:hAnsi="Times New Roman"/>
                <w:sz w:val="28"/>
                <w:szCs w:val="28"/>
                <w:color w:val="auto"/>
                <w:w w:val="99"/>
              </w:rPr>
              <w:t>32</w:t>
            </w:r>
          </w:p>
        </w:tc>
        <w:tc>
          <w:tcPr>
            <w:tcW w:w="720" w:type="dxa"/>
            <w:vAlign w:val="bottom"/>
            <w:tcBorders>
              <w:right w:val="single" w:sz="8" w:color="auto"/>
            </w:tcBorders>
          </w:tcPr>
          <w:p>
            <w:pPr>
              <w:jc w:val="center"/>
              <w:spacing w:after="0" w:line="290" w:lineRule="exact"/>
              <w:rPr>
                <w:sz w:val="20"/>
                <w:szCs w:val="20"/>
                <w:color w:val="auto"/>
              </w:rPr>
            </w:pPr>
            <w:r>
              <w:rPr>
                <w:rFonts w:ascii="Times New Roman" w:cs="Times New Roman" w:eastAsia="Times New Roman" w:hAnsi="Times New Roman"/>
                <w:sz w:val="28"/>
                <w:szCs w:val="28"/>
                <w:color w:val="auto"/>
                <w:w w:val="99"/>
              </w:rPr>
              <w:t>27</w:t>
            </w:r>
          </w:p>
        </w:tc>
        <w:tc>
          <w:tcPr>
            <w:tcW w:w="100" w:type="dxa"/>
            <w:vAlign w:val="bottom"/>
          </w:tcPr>
          <w:p>
            <w:pPr>
              <w:spacing w:after="0"/>
              <w:rPr>
                <w:sz w:val="24"/>
                <w:szCs w:val="24"/>
                <w:color w:val="auto"/>
              </w:rPr>
            </w:pPr>
          </w:p>
        </w:tc>
        <w:tc>
          <w:tcPr>
            <w:tcW w:w="700" w:type="dxa"/>
            <w:vAlign w:val="bottom"/>
            <w:tcBorders>
              <w:right w:val="single" w:sz="8" w:color="auto"/>
            </w:tcBorders>
          </w:tcPr>
          <w:p>
            <w:pPr>
              <w:jc w:val="center"/>
              <w:spacing w:after="0" w:line="290" w:lineRule="exact"/>
              <w:rPr>
                <w:sz w:val="20"/>
                <w:szCs w:val="20"/>
                <w:color w:val="auto"/>
              </w:rPr>
            </w:pPr>
            <w:r>
              <w:rPr>
                <w:rFonts w:ascii="Times New Roman" w:cs="Times New Roman" w:eastAsia="Times New Roman" w:hAnsi="Times New Roman"/>
                <w:sz w:val="28"/>
                <w:szCs w:val="28"/>
                <w:color w:val="auto"/>
                <w:w w:val="99"/>
              </w:rPr>
              <w:t>24</w:t>
            </w:r>
          </w:p>
        </w:tc>
        <w:tc>
          <w:tcPr>
            <w:tcW w:w="720" w:type="dxa"/>
            <w:vAlign w:val="bottom"/>
            <w:tcBorders>
              <w:right w:val="single" w:sz="8" w:color="auto"/>
            </w:tcBorders>
          </w:tcPr>
          <w:p>
            <w:pPr>
              <w:jc w:val="center"/>
              <w:spacing w:after="0" w:line="290" w:lineRule="exact"/>
              <w:rPr>
                <w:sz w:val="20"/>
                <w:szCs w:val="20"/>
                <w:color w:val="auto"/>
              </w:rPr>
            </w:pPr>
            <w:r>
              <w:rPr>
                <w:rFonts w:ascii="Times New Roman" w:cs="Times New Roman" w:eastAsia="Times New Roman" w:hAnsi="Times New Roman"/>
                <w:sz w:val="28"/>
                <w:szCs w:val="28"/>
                <w:color w:val="auto"/>
                <w:w w:val="99"/>
              </w:rPr>
              <w:t>21</w:t>
            </w:r>
          </w:p>
        </w:tc>
        <w:tc>
          <w:tcPr>
            <w:tcW w:w="980" w:type="dxa"/>
            <w:vAlign w:val="bottom"/>
          </w:tcPr>
          <w:p>
            <w:pPr>
              <w:jc w:val="center"/>
              <w:spacing w:after="0" w:line="290" w:lineRule="exact"/>
              <w:rPr>
                <w:sz w:val="20"/>
                <w:szCs w:val="20"/>
                <w:color w:val="auto"/>
              </w:rPr>
            </w:pPr>
            <w:r>
              <w:rPr>
                <w:rFonts w:ascii="Times New Roman" w:cs="Times New Roman" w:eastAsia="Times New Roman" w:hAnsi="Times New Roman"/>
                <w:sz w:val="28"/>
                <w:szCs w:val="28"/>
                <w:color w:val="auto"/>
                <w:w w:val="99"/>
              </w:rPr>
              <w:t>34</w:t>
            </w:r>
          </w:p>
        </w:tc>
        <w:tc>
          <w:tcPr>
            <w:tcW w:w="0" w:type="dxa"/>
            <w:vAlign w:val="bottom"/>
          </w:tcPr>
          <w:p>
            <w:pPr>
              <w:spacing w:after="0"/>
              <w:rPr>
                <w:sz w:val="1"/>
                <w:szCs w:val="1"/>
                <w:color w:val="auto"/>
              </w:rPr>
            </w:pPr>
          </w:p>
        </w:tc>
      </w:tr>
      <w:tr>
        <w:trPr>
          <w:trHeight w:val="322"/>
        </w:trPr>
        <w:tc>
          <w:tcPr>
            <w:tcW w:w="4140" w:type="dxa"/>
            <w:vAlign w:val="bottom"/>
          </w:tcPr>
          <w:p>
            <w:pPr>
              <w:ind w:left="20"/>
              <w:spacing w:after="0"/>
              <w:rPr>
                <w:sz w:val="20"/>
                <w:szCs w:val="20"/>
                <w:color w:val="auto"/>
              </w:rPr>
            </w:pPr>
            <w:r>
              <w:rPr>
                <w:rFonts w:ascii="Times New Roman" w:cs="Times New Roman" w:eastAsia="Times New Roman" w:hAnsi="Times New Roman"/>
                <w:sz w:val="28"/>
                <w:szCs w:val="28"/>
                <w:color w:val="auto"/>
              </w:rPr>
              <w:t>экономической добавленной</w:t>
            </w:r>
          </w:p>
        </w:tc>
        <w:tc>
          <w:tcPr>
            <w:tcW w:w="740" w:type="dxa"/>
            <w:vAlign w:val="bottom"/>
            <w:tcBorders>
              <w:right w:val="single" w:sz="8" w:color="auto"/>
            </w:tcBorders>
          </w:tcPr>
          <w:p>
            <w:pPr>
              <w:spacing w:after="0"/>
              <w:rPr>
                <w:sz w:val="24"/>
                <w:szCs w:val="24"/>
                <w:color w:val="auto"/>
              </w:rPr>
            </w:pPr>
          </w:p>
        </w:tc>
        <w:tc>
          <w:tcPr>
            <w:tcW w:w="720" w:type="dxa"/>
            <w:vAlign w:val="bottom"/>
            <w:tcBorders>
              <w:right w:val="single" w:sz="8" w:color="auto"/>
            </w:tcBorders>
          </w:tcPr>
          <w:p>
            <w:pPr>
              <w:spacing w:after="0"/>
              <w:rPr>
                <w:sz w:val="24"/>
                <w:szCs w:val="24"/>
                <w:color w:val="auto"/>
              </w:rPr>
            </w:pPr>
          </w:p>
        </w:tc>
        <w:tc>
          <w:tcPr>
            <w:tcW w:w="720" w:type="dxa"/>
            <w:vAlign w:val="bottom"/>
            <w:tcBorders>
              <w:right w:val="single" w:sz="8" w:color="auto"/>
            </w:tcBorders>
          </w:tcPr>
          <w:p>
            <w:pPr>
              <w:spacing w:after="0"/>
              <w:rPr>
                <w:sz w:val="24"/>
                <w:szCs w:val="24"/>
                <w:color w:val="auto"/>
              </w:rPr>
            </w:pPr>
          </w:p>
        </w:tc>
        <w:tc>
          <w:tcPr>
            <w:tcW w:w="720" w:type="dxa"/>
            <w:vAlign w:val="bottom"/>
            <w:tcBorders>
              <w:right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700" w:type="dxa"/>
            <w:vAlign w:val="bottom"/>
            <w:tcBorders>
              <w:right w:val="single" w:sz="8" w:color="auto"/>
            </w:tcBorders>
          </w:tcPr>
          <w:p>
            <w:pPr>
              <w:spacing w:after="0"/>
              <w:rPr>
                <w:sz w:val="24"/>
                <w:szCs w:val="24"/>
                <w:color w:val="auto"/>
              </w:rPr>
            </w:pPr>
          </w:p>
        </w:tc>
        <w:tc>
          <w:tcPr>
            <w:tcW w:w="720" w:type="dxa"/>
            <w:vAlign w:val="bottom"/>
            <w:tcBorders>
              <w:right w:val="single" w:sz="8" w:color="auto"/>
            </w:tcBorders>
          </w:tcPr>
          <w:p>
            <w:pPr>
              <w:spacing w:after="0"/>
              <w:rPr>
                <w:sz w:val="24"/>
                <w:szCs w:val="24"/>
                <w:color w:val="auto"/>
              </w:rPr>
            </w:pPr>
          </w:p>
        </w:tc>
        <w:tc>
          <w:tcPr>
            <w:tcW w:w="9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23"/>
        </w:trPr>
        <w:tc>
          <w:tcPr>
            <w:tcW w:w="4140" w:type="dxa"/>
            <w:vAlign w:val="bottom"/>
          </w:tcPr>
          <w:p>
            <w:pPr>
              <w:ind w:left="20"/>
              <w:spacing w:after="0"/>
              <w:rPr>
                <w:sz w:val="20"/>
                <w:szCs w:val="20"/>
                <w:color w:val="auto"/>
              </w:rPr>
            </w:pPr>
            <w:r>
              <w:rPr>
                <w:rFonts w:ascii="Times New Roman" w:cs="Times New Roman" w:eastAsia="Times New Roman" w:hAnsi="Times New Roman"/>
                <w:sz w:val="28"/>
                <w:szCs w:val="28"/>
                <w:color w:val="auto"/>
              </w:rPr>
              <w:t>стоимости от капитальных</w:t>
            </w:r>
          </w:p>
        </w:tc>
        <w:tc>
          <w:tcPr>
            <w:tcW w:w="740" w:type="dxa"/>
            <w:vAlign w:val="bottom"/>
            <w:tcBorders>
              <w:right w:val="single" w:sz="8" w:color="auto"/>
            </w:tcBorders>
          </w:tcPr>
          <w:p>
            <w:pPr>
              <w:spacing w:after="0"/>
              <w:rPr>
                <w:sz w:val="24"/>
                <w:szCs w:val="24"/>
                <w:color w:val="auto"/>
              </w:rPr>
            </w:pPr>
          </w:p>
        </w:tc>
        <w:tc>
          <w:tcPr>
            <w:tcW w:w="720" w:type="dxa"/>
            <w:vAlign w:val="bottom"/>
            <w:tcBorders>
              <w:right w:val="single" w:sz="8" w:color="auto"/>
            </w:tcBorders>
          </w:tcPr>
          <w:p>
            <w:pPr>
              <w:spacing w:after="0"/>
              <w:rPr>
                <w:sz w:val="24"/>
                <w:szCs w:val="24"/>
                <w:color w:val="auto"/>
              </w:rPr>
            </w:pPr>
          </w:p>
        </w:tc>
        <w:tc>
          <w:tcPr>
            <w:tcW w:w="720" w:type="dxa"/>
            <w:vAlign w:val="bottom"/>
            <w:tcBorders>
              <w:right w:val="single" w:sz="8" w:color="auto"/>
            </w:tcBorders>
          </w:tcPr>
          <w:p>
            <w:pPr>
              <w:spacing w:after="0"/>
              <w:rPr>
                <w:sz w:val="24"/>
                <w:szCs w:val="24"/>
                <w:color w:val="auto"/>
              </w:rPr>
            </w:pPr>
          </w:p>
        </w:tc>
        <w:tc>
          <w:tcPr>
            <w:tcW w:w="720" w:type="dxa"/>
            <w:vAlign w:val="bottom"/>
            <w:tcBorders>
              <w:right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700" w:type="dxa"/>
            <w:vAlign w:val="bottom"/>
            <w:tcBorders>
              <w:right w:val="single" w:sz="8" w:color="auto"/>
            </w:tcBorders>
          </w:tcPr>
          <w:p>
            <w:pPr>
              <w:spacing w:after="0"/>
              <w:rPr>
                <w:sz w:val="24"/>
                <w:szCs w:val="24"/>
                <w:color w:val="auto"/>
              </w:rPr>
            </w:pPr>
          </w:p>
        </w:tc>
        <w:tc>
          <w:tcPr>
            <w:tcW w:w="720" w:type="dxa"/>
            <w:vAlign w:val="bottom"/>
            <w:tcBorders>
              <w:right w:val="single" w:sz="8" w:color="auto"/>
            </w:tcBorders>
          </w:tcPr>
          <w:p>
            <w:pPr>
              <w:spacing w:after="0"/>
              <w:rPr>
                <w:sz w:val="24"/>
                <w:szCs w:val="24"/>
                <w:color w:val="auto"/>
              </w:rPr>
            </w:pPr>
          </w:p>
        </w:tc>
        <w:tc>
          <w:tcPr>
            <w:tcW w:w="9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43"/>
        </w:trPr>
        <w:tc>
          <w:tcPr>
            <w:tcW w:w="4140" w:type="dxa"/>
            <w:vAlign w:val="bottom"/>
            <w:tcBorders>
              <w:bottom w:val="single" w:sz="8" w:color="auto"/>
            </w:tcBorders>
          </w:tcPr>
          <w:p>
            <w:pPr>
              <w:ind w:left="20"/>
              <w:spacing w:after="0"/>
              <w:rPr>
                <w:sz w:val="20"/>
                <w:szCs w:val="20"/>
                <w:color w:val="auto"/>
              </w:rPr>
            </w:pPr>
            <w:r>
              <w:rPr>
                <w:rFonts w:ascii="Times New Roman" w:cs="Times New Roman" w:eastAsia="Times New Roman" w:hAnsi="Times New Roman"/>
                <w:sz w:val="28"/>
                <w:szCs w:val="28"/>
                <w:color w:val="auto"/>
              </w:rPr>
              <w:t>вложений</w:t>
            </w:r>
          </w:p>
        </w:tc>
        <w:tc>
          <w:tcPr>
            <w:tcW w:w="740" w:type="dxa"/>
            <w:vAlign w:val="bottom"/>
            <w:tcBorders>
              <w:bottom w:val="single" w:sz="8" w:color="auto"/>
              <w:right w:val="single" w:sz="8" w:color="auto"/>
            </w:tcBorders>
          </w:tcPr>
          <w:p>
            <w:pPr>
              <w:spacing w:after="0"/>
              <w:rPr>
                <w:sz w:val="24"/>
                <w:szCs w:val="24"/>
                <w:color w:val="auto"/>
              </w:rPr>
            </w:pPr>
          </w:p>
        </w:tc>
        <w:tc>
          <w:tcPr>
            <w:tcW w:w="720" w:type="dxa"/>
            <w:vAlign w:val="bottom"/>
            <w:tcBorders>
              <w:bottom w:val="single" w:sz="8" w:color="auto"/>
              <w:right w:val="single" w:sz="8" w:color="auto"/>
            </w:tcBorders>
          </w:tcPr>
          <w:p>
            <w:pPr>
              <w:spacing w:after="0"/>
              <w:rPr>
                <w:sz w:val="24"/>
                <w:szCs w:val="24"/>
                <w:color w:val="auto"/>
              </w:rPr>
            </w:pPr>
          </w:p>
        </w:tc>
        <w:tc>
          <w:tcPr>
            <w:tcW w:w="720" w:type="dxa"/>
            <w:vAlign w:val="bottom"/>
            <w:tcBorders>
              <w:bottom w:val="single" w:sz="8" w:color="auto"/>
              <w:right w:val="single" w:sz="8" w:color="auto"/>
            </w:tcBorders>
          </w:tcPr>
          <w:p>
            <w:pPr>
              <w:spacing w:after="0"/>
              <w:rPr>
                <w:sz w:val="24"/>
                <w:szCs w:val="24"/>
                <w:color w:val="auto"/>
              </w:rPr>
            </w:pPr>
          </w:p>
        </w:tc>
        <w:tc>
          <w:tcPr>
            <w:tcW w:w="720" w:type="dxa"/>
            <w:vAlign w:val="bottom"/>
            <w:tcBorders>
              <w:bottom w:val="single" w:sz="8" w:color="auto"/>
              <w:right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700" w:type="dxa"/>
            <w:vAlign w:val="bottom"/>
            <w:tcBorders>
              <w:bottom w:val="single" w:sz="8" w:color="auto"/>
              <w:right w:val="single" w:sz="8" w:color="auto"/>
            </w:tcBorders>
          </w:tcPr>
          <w:p>
            <w:pPr>
              <w:spacing w:after="0"/>
              <w:rPr>
                <w:sz w:val="24"/>
                <w:szCs w:val="24"/>
                <w:color w:val="auto"/>
              </w:rPr>
            </w:pPr>
          </w:p>
        </w:tc>
        <w:tc>
          <w:tcPr>
            <w:tcW w:w="720" w:type="dxa"/>
            <w:vAlign w:val="bottom"/>
            <w:tcBorders>
              <w:bottom w:val="single" w:sz="8" w:color="auto"/>
              <w:right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20"/>
        </w:trPr>
        <w:tc>
          <w:tcPr>
            <w:tcW w:w="4140" w:type="dxa"/>
            <w:vAlign w:val="bottom"/>
            <w:tcBorders>
              <w:bottom w:val="single" w:sz="8" w:color="auto"/>
            </w:tcBorders>
          </w:tcPr>
          <w:p>
            <w:pPr>
              <w:ind w:left="20"/>
              <w:spacing w:after="0" w:line="320" w:lineRule="exact"/>
              <w:rPr>
                <w:sz w:val="20"/>
                <w:szCs w:val="20"/>
                <w:color w:val="auto"/>
              </w:rPr>
            </w:pPr>
            <w:r>
              <w:rPr>
                <w:rFonts w:ascii="Times New Roman" w:cs="Times New Roman" w:eastAsia="Times New Roman" w:hAnsi="Times New Roman"/>
                <w:sz w:val="28"/>
                <w:szCs w:val="28"/>
                <w:color w:val="auto"/>
              </w:rPr>
              <w:t>EVA, построгноз.</w:t>
            </w:r>
          </w:p>
        </w:tc>
        <w:tc>
          <w:tcPr>
            <w:tcW w:w="740" w:type="dxa"/>
            <w:vAlign w:val="bottom"/>
            <w:tcBorders>
              <w:bottom w:val="single" w:sz="8" w:color="auto"/>
              <w:right w:val="single" w:sz="8" w:color="auto"/>
            </w:tcBorders>
          </w:tcPr>
          <w:p>
            <w:pPr>
              <w:jc w:val="center"/>
              <w:spacing w:after="0" w:line="320" w:lineRule="exact"/>
              <w:rPr>
                <w:sz w:val="20"/>
                <w:szCs w:val="20"/>
                <w:color w:val="auto"/>
              </w:rPr>
            </w:pPr>
            <w:r>
              <w:rPr>
                <w:rFonts w:ascii="Times New Roman" w:cs="Times New Roman" w:eastAsia="Times New Roman" w:hAnsi="Times New Roman"/>
                <w:sz w:val="28"/>
                <w:szCs w:val="28"/>
                <w:color w:val="auto"/>
                <w:w w:val="99"/>
              </w:rPr>
              <w:t>138</w:t>
            </w:r>
          </w:p>
        </w:tc>
        <w:tc>
          <w:tcPr>
            <w:tcW w:w="720" w:type="dxa"/>
            <w:vAlign w:val="bottom"/>
            <w:tcBorders>
              <w:bottom w:val="single" w:sz="8" w:color="auto"/>
              <w:right w:val="single" w:sz="8" w:color="auto"/>
            </w:tcBorders>
          </w:tcPr>
          <w:p>
            <w:pPr>
              <w:spacing w:after="0"/>
              <w:rPr>
                <w:sz w:val="24"/>
                <w:szCs w:val="24"/>
                <w:color w:val="auto"/>
              </w:rPr>
            </w:pPr>
          </w:p>
        </w:tc>
        <w:tc>
          <w:tcPr>
            <w:tcW w:w="720" w:type="dxa"/>
            <w:vAlign w:val="bottom"/>
            <w:tcBorders>
              <w:bottom w:val="single" w:sz="8" w:color="auto"/>
              <w:right w:val="single" w:sz="8" w:color="auto"/>
            </w:tcBorders>
          </w:tcPr>
          <w:p>
            <w:pPr>
              <w:spacing w:after="0"/>
              <w:rPr>
                <w:sz w:val="24"/>
                <w:szCs w:val="24"/>
                <w:color w:val="auto"/>
              </w:rPr>
            </w:pPr>
          </w:p>
        </w:tc>
        <w:tc>
          <w:tcPr>
            <w:tcW w:w="720" w:type="dxa"/>
            <w:vAlign w:val="bottom"/>
            <w:tcBorders>
              <w:bottom w:val="single" w:sz="8" w:color="auto"/>
              <w:right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700" w:type="dxa"/>
            <w:vAlign w:val="bottom"/>
            <w:tcBorders>
              <w:bottom w:val="single" w:sz="8" w:color="auto"/>
              <w:right w:val="single" w:sz="8" w:color="auto"/>
            </w:tcBorders>
          </w:tcPr>
          <w:p>
            <w:pPr>
              <w:spacing w:after="0"/>
              <w:rPr>
                <w:sz w:val="24"/>
                <w:szCs w:val="24"/>
                <w:color w:val="auto"/>
              </w:rPr>
            </w:pPr>
          </w:p>
        </w:tc>
        <w:tc>
          <w:tcPr>
            <w:tcW w:w="720" w:type="dxa"/>
            <w:vAlign w:val="bottom"/>
            <w:tcBorders>
              <w:bottom w:val="single" w:sz="8" w:color="auto"/>
              <w:right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00"/>
        </w:trPr>
        <w:tc>
          <w:tcPr>
            <w:tcW w:w="4140" w:type="dxa"/>
            <w:vAlign w:val="bottom"/>
          </w:tcPr>
          <w:p>
            <w:pPr>
              <w:ind w:left="20"/>
              <w:spacing w:after="0" w:line="300" w:lineRule="exact"/>
              <w:rPr>
                <w:sz w:val="20"/>
                <w:szCs w:val="20"/>
                <w:color w:val="auto"/>
              </w:rPr>
            </w:pPr>
            <w:r>
              <w:rPr>
                <w:rFonts w:ascii="Times New Roman" w:cs="Times New Roman" w:eastAsia="Times New Roman" w:hAnsi="Times New Roman"/>
                <w:sz w:val="28"/>
                <w:szCs w:val="28"/>
                <w:color w:val="auto"/>
              </w:rPr>
              <w:t>Стоимость компании</w:t>
            </w:r>
          </w:p>
        </w:tc>
        <w:tc>
          <w:tcPr>
            <w:tcW w:w="74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720" w:type="dxa"/>
            <w:vAlign w:val="bottom"/>
          </w:tcPr>
          <w:p>
            <w:pPr>
              <w:jc w:val="right"/>
              <w:spacing w:after="0" w:line="300" w:lineRule="exact"/>
              <w:rPr>
                <w:sz w:val="20"/>
                <w:szCs w:val="20"/>
                <w:color w:val="auto"/>
              </w:rPr>
            </w:pPr>
            <w:r>
              <w:rPr>
                <w:rFonts w:ascii="Times New Roman" w:cs="Times New Roman" w:eastAsia="Times New Roman" w:hAnsi="Times New Roman"/>
                <w:sz w:val="28"/>
                <w:szCs w:val="28"/>
                <w:color w:val="auto"/>
              </w:rPr>
              <w:t>1608</w:t>
            </w:r>
          </w:p>
        </w:tc>
        <w:tc>
          <w:tcPr>
            <w:tcW w:w="100" w:type="dxa"/>
            <w:vAlign w:val="bottom"/>
          </w:tcPr>
          <w:p>
            <w:pPr>
              <w:spacing w:after="0"/>
              <w:rPr>
                <w:sz w:val="24"/>
                <w:szCs w:val="24"/>
                <w:color w:val="auto"/>
              </w:rPr>
            </w:pPr>
          </w:p>
        </w:tc>
        <w:tc>
          <w:tcPr>
            <w:tcW w:w="70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2794635</wp:posOffset>
                </wp:positionH>
                <wp:positionV relativeFrom="paragraph">
                  <wp:posOffset>-3789045</wp:posOffset>
                </wp:positionV>
                <wp:extent cx="0" cy="380238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80238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0.05pt,-298.3499pt" to="220.05pt,1.0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165735</wp:posOffset>
                </wp:positionH>
                <wp:positionV relativeFrom="paragraph">
                  <wp:posOffset>-3789045</wp:posOffset>
                </wp:positionV>
                <wp:extent cx="0" cy="421767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421767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05pt,-298.3499pt" to="13.05pt,33.7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6223635</wp:posOffset>
                </wp:positionH>
                <wp:positionV relativeFrom="paragraph">
                  <wp:posOffset>-3789045</wp:posOffset>
                </wp:positionV>
                <wp:extent cx="0" cy="421767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421767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90.05pt,-298.3499pt" to="490.05pt,33.75pt" o:allowincell="f" strokecolor="#000000" strokeweight="0.4799pt"/>
            </w:pict>
          </mc:Fallback>
        </mc:AlternateContent>
      </w:r>
    </w:p>
    <w:p>
      <w:pPr>
        <w:ind w:left="280" w:right="2240"/>
        <w:spacing w:after="0" w:line="270" w:lineRule="auto"/>
        <w:rPr>
          <w:sz w:val="20"/>
          <w:szCs w:val="20"/>
          <w:color w:val="auto"/>
        </w:rPr>
      </w:pPr>
      <w:r>
        <w:rPr>
          <w:rFonts w:ascii="Times New Roman" w:cs="Times New Roman" w:eastAsia="Times New Roman" w:hAnsi="Times New Roman"/>
          <w:sz w:val="28"/>
          <w:szCs w:val="28"/>
          <w:color w:val="auto"/>
        </w:rPr>
        <w:t>Примечание. Скорректированная величина первоначального инвестированного капитала – 1470 долл.</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162560</wp:posOffset>
                </wp:positionH>
                <wp:positionV relativeFrom="paragraph">
                  <wp:posOffset>-448945</wp:posOffset>
                </wp:positionV>
                <wp:extent cx="6064250" cy="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6425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8pt,-35.3499pt" to="490.3pt,-35.3499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162560</wp:posOffset>
                </wp:positionH>
                <wp:positionV relativeFrom="paragraph">
                  <wp:posOffset>-33655</wp:posOffset>
                </wp:positionV>
                <wp:extent cx="6064250" cy="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6425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8pt,-2.6499pt" to="490.3pt,-2.6499pt" o:allowincell="f" strokecolor="#000000" strokeweight="0.48pt"/>
            </w:pict>
          </mc:Fallback>
        </mc:AlternateContent>
      </w:r>
    </w:p>
    <w:p>
      <w:pPr>
        <w:sectPr>
          <w:pgSz w:w="11900" w:h="16840" w:orient="portrait"/>
          <w:cols w:equalWidth="0" w:num="1">
            <w:col w:w="9800"/>
          </w:cols>
          <w:pgMar w:left="1440" w:top="1112" w:right="664" w:bottom="16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ind w:left="9380"/>
        <w:spacing w:after="0"/>
        <w:rPr>
          <w:sz w:val="20"/>
          <w:szCs w:val="20"/>
          <w:color w:val="auto"/>
        </w:rPr>
      </w:pPr>
      <w:r>
        <w:rPr>
          <w:rFonts w:ascii="Times New Roman" w:cs="Times New Roman" w:eastAsia="Times New Roman" w:hAnsi="Times New Roman"/>
          <w:sz w:val="24"/>
          <w:szCs w:val="24"/>
          <w:color w:val="auto"/>
        </w:rPr>
        <w:t>50</w:t>
      </w:r>
    </w:p>
    <w:p>
      <w:pPr>
        <w:sectPr>
          <w:pgSz w:w="11900" w:h="16840" w:orient="portrait"/>
          <w:cols w:equalWidth="0" w:num="1">
            <w:col w:w="9800"/>
          </w:cols>
          <w:pgMar w:left="1440" w:top="1112" w:right="664" w:bottom="163" w:gutter="0" w:footer="0" w:header="0"/>
          <w:type w:val="continuous"/>
        </w:sectPr>
      </w:pPr>
    </w:p>
    <w:p>
      <w:pPr>
        <w:jc w:val="both"/>
        <w:ind w:left="260" w:right="140" w:firstLine="720"/>
        <w:spacing w:after="0"/>
        <w:rPr>
          <w:sz w:val="20"/>
          <w:szCs w:val="20"/>
          <w:color w:val="auto"/>
        </w:rPr>
      </w:pPr>
      <w:r>
        <w:rPr>
          <w:rFonts w:ascii="Times New Roman" w:cs="Times New Roman" w:eastAsia="Times New Roman" w:hAnsi="Times New Roman"/>
          <w:sz w:val="28"/>
          <w:szCs w:val="28"/>
          <w:u w:val="single" w:color="auto"/>
          <w:color w:val="auto"/>
        </w:rPr>
        <w:t>Задача</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u w:val="single" w:color="auto"/>
          <w:color w:val="auto"/>
        </w:rPr>
        <w:t>6.4.</w:t>
      </w:r>
      <w:r>
        <w:rPr>
          <w:rFonts w:ascii="Times New Roman" w:cs="Times New Roman" w:eastAsia="Times New Roman" w:hAnsi="Times New Roman"/>
          <w:sz w:val="28"/>
          <w:szCs w:val="28"/>
          <w:color w:val="auto"/>
        </w:rPr>
        <w:t xml:space="preserve"> Рассчитаем стоимость компании (по стоимости инвестированного капитала) с использованием показателя акционерной добавленной стоимости.</w:t>
      </w:r>
    </w:p>
    <w:p>
      <w:pPr>
        <w:jc w:val="both"/>
        <w:ind w:left="260" w:right="140" w:firstLine="720"/>
        <w:spacing w:after="0"/>
        <w:rPr>
          <w:sz w:val="20"/>
          <w:szCs w:val="20"/>
          <w:color w:val="auto"/>
        </w:rPr>
      </w:pPr>
      <w:r>
        <w:rPr>
          <w:rFonts w:ascii="Times New Roman" w:cs="Times New Roman" w:eastAsia="Times New Roman" w:hAnsi="Times New Roman"/>
          <w:sz w:val="28"/>
          <w:szCs w:val="28"/>
          <w:color w:val="auto"/>
        </w:rPr>
        <w:t>Выручка от реализации составляет: 1000 долл. - в первый год; 1200 долл. - во второй год; 1500 долл. - в третий год . Начиная с третьего года выручка компании стабилизируется на уровне 1500 долл. Прогнозный период - 6 лет. Доля операционной прибыли до налогообложения равна 20% выручки; налог на прибыль - 24%. Средневзвешенная стоимость капитала - 15%. Инвестированный капитал в первый год достигает 1500 долл., во второй</w:t>
      </w:r>
    </w:p>
    <w:p>
      <w:pPr>
        <w:ind w:left="260" w:right="140" w:firstLine="2"/>
        <w:spacing w:after="0" w:line="239" w:lineRule="auto"/>
        <w:tabs>
          <w:tab w:leader="none" w:pos="430" w:val="left"/>
        </w:tabs>
        <w:numPr>
          <w:ilvl w:val="0"/>
          <w:numId w:val="10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1600 долл., в третий - 1200 долл. Уменьшение инвестированного капитала в третьем году произошло за счет продажи непрофильного бизнеса.</w:t>
      </w:r>
    </w:p>
    <w:p>
      <w:pPr>
        <w:spacing w:after="0" w:line="1" w:lineRule="exact"/>
        <w:rPr>
          <w:rFonts w:ascii="Times New Roman" w:cs="Times New Roman" w:eastAsia="Times New Roman" w:hAnsi="Times New Roman"/>
          <w:sz w:val="28"/>
          <w:szCs w:val="28"/>
          <w:color w:val="auto"/>
        </w:rPr>
      </w:pPr>
    </w:p>
    <w:p>
      <w:pPr>
        <w:ind w:left="98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Данные для расчета по двум способам приведены в табл. 6.2. и 6.3.</w:t>
      </w:r>
    </w:p>
    <w:p>
      <w:pPr>
        <w:ind w:left="8200"/>
        <w:spacing w:after="0"/>
        <w:rPr>
          <w:sz w:val="20"/>
          <w:szCs w:val="20"/>
          <w:color w:val="auto"/>
        </w:rPr>
      </w:pPr>
      <w:r>
        <w:rPr>
          <w:rFonts w:ascii="Times New Roman" w:cs="Times New Roman" w:eastAsia="Times New Roman" w:hAnsi="Times New Roman"/>
          <w:sz w:val="28"/>
          <w:szCs w:val="28"/>
          <w:color w:val="auto"/>
        </w:rPr>
        <w:t>Таблица 6.2</w:t>
      </w:r>
    </w:p>
    <w:p>
      <w:pPr>
        <w:ind w:left="600"/>
        <w:spacing w:after="0"/>
        <w:rPr>
          <w:sz w:val="20"/>
          <w:szCs w:val="20"/>
          <w:color w:val="auto"/>
        </w:rPr>
      </w:pPr>
      <w:r>
        <w:rPr>
          <w:rFonts w:ascii="Times New Roman" w:cs="Times New Roman" w:eastAsia="Times New Roman" w:hAnsi="Times New Roman"/>
          <w:sz w:val="28"/>
          <w:szCs w:val="28"/>
          <w:color w:val="auto"/>
        </w:rPr>
        <w:t>Данные для оценки стоимости компании с помощью показателя SVA по</w:t>
      </w:r>
    </w:p>
    <w:p>
      <w:pPr>
        <w:ind w:left="3540"/>
        <w:spacing w:after="0"/>
        <w:rPr>
          <w:sz w:val="20"/>
          <w:szCs w:val="20"/>
          <w:color w:val="auto"/>
        </w:rPr>
      </w:pPr>
      <w:r>
        <w:rPr>
          <w:rFonts w:ascii="Times New Roman" w:cs="Times New Roman" w:eastAsia="Times New Roman" w:hAnsi="Times New Roman"/>
          <w:sz w:val="28"/>
          <w:szCs w:val="28"/>
          <w:color w:val="auto"/>
        </w:rPr>
        <w:t>первому способу, долл.</w:t>
      </w:r>
    </w:p>
    <w:tbl>
      <w:tblPr>
        <w:tblLayout w:type="fixed"/>
        <w:tblInd w:w="230" w:type="dxa"/>
        <w:tblCellMar>
          <w:top w:w="0" w:type="dxa"/>
          <w:left w:w="0" w:type="dxa"/>
          <w:bottom w:w="0" w:type="dxa"/>
          <w:right w:w="0" w:type="dxa"/>
        </w:tblCellMar>
      </w:tblPr>
      <w:tr>
        <w:trPr>
          <w:trHeight w:val="334"/>
        </w:trPr>
        <w:tc>
          <w:tcPr>
            <w:tcW w:w="5280" w:type="dxa"/>
            <w:vAlign w:val="bottom"/>
            <w:tcBorders>
              <w:top w:val="single" w:sz="8" w:color="auto"/>
              <w:left w:val="single" w:sz="8" w:color="auto"/>
              <w:bottom w:val="single" w:sz="8" w:color="auto"/>
              <w:right w:val="single" w:sz="8" w:color="auto"/>
            </w:tcBorders>
            <w:vMerge w:val="restart"/>
          </w:tcPr>
          <w:p>
            <w:pPr>
              <w:ind w:left="1960"/>
              <w:spacing w:after="0"/>
              <w:rPr>
                <w:sz w:val="20"/>
                <w:szCs w:val="20"/>
                <w:color w:val="auto"/>
              </w:rPr>
            </w:pPr>
            <w:r>
              <w:rPr>
                <w:rFonts w:ascii="Times New Roman" w:cs="Times New Roman" w:eastAsia="Times New Roman" w:hAnsi="Times New Roman"/>
                <w:sz w:val="28"/>
                <w:szCs w:val="28"/>
                <w:color w:val="auto"/>
              </w:rPr>
              <w:t>Показатель</w:t>
            </w:r>
          </w:p>
        </w:tc>
        <w:tc>
          <w:tcPr>
            <w:tcW w:w="780" w:type="dxa"/>
            <w:vAlign w:val="bottom"/>
            <w:tcBorders>
              <w:top w:val="single" w:sz="8" w:color="auto"/>
              <w:bottom w:val="single" w:sz="8" w:color="auto"/>
            </w:tcBorders>
          </w:tcPr>
          <w:p>
            <w:pPr>
              <w:spacing w:after="0"/>
              <w:rPr>
                <w:sz w:val="24"/>
                <w:szCs w:val="24"/>
                <w:color w:val="auto"/>
              </w:rPr>
            </w:pPr>
          </w:p>
        </w:tc>
        <w:tc>
          <w:tcPr>
            <w:tcW w:w="740" w:type="dxa"/>
            <w:vAlign w:val="bottom"/>
            <w:tcBorders>
              <w:top w:val="single" w:sz="8" w:color="auto"/>
              <w:bottom w:val="single" w:sz="8" w:color="auto"/>
            </w:tcBorders>
          </w:tcPr>
          <w:p>
            <w:pPr>
              <w:spacing w:after="0"/>
              <w:rPr>
                <w:sz w:val="24"/>
                <w:szCs w:val="24"/>
                <w:color w:val="auto"/>
              </w:rPr>
            </w:pPr>
          </w:p>
        </w:tc>
        <w:tc>
          <w:tcPr>
            <w:tcW w:w="1300" w:type="dxa"/>
            <w:vAlign w:val="bottom"/>
            <w:tcBorders>
              <w:top w:val="single" w:sz="8" w:color="auto"/>
              <w:bottom w:val="single" w:sz="8" w:color="auto"/>
            </w:tcBorders>
            <w:gridSpan w:val="2"/>
          </w:tcPr>
          <w:p>
            <w:pPr>
              <w:ind w:left="280"/>
              <w:spacing w:after="0"/>
              <w:rPr>
                <w:sz w:val="20"/>
                <w:szCs w:val="20"/>
                <w:color w:val="auto"/>
              </w:rPr>
            </w:pPr>
            <w:r>
              <w:rPr>
                <w:rFonts w:ascii="Times New Roman" w:cs="Times New Roman" w:eastAsia="Times New Roman" w:hAnsi="Times New Roman"/>
                <w:sz w:val="28"/>
                <w:szCs w:val="28"/>
                <w:color w:val="auto"/>
              </w:rPr>
              <w:t>Годы</w:t>
            </w:r>
          </w:p>
        </w:tc>
        <w:tc>
          <w:tcPr>
            <w:tcW w:w="760" w:type="dxa"/>
            <w:vAlign w:val="bottom"/>
            <w:tcBorders>
              <w:top w:val="single" w:sz="8" w:color="auto"/>
              <w:bottom w:val="single" w:sz="8" w:color="auto"/>
            </w:tcBorders>
          </w:tcPr>
          <w:p>
            <w:pPr>
              <w:spacing w:after="0"/>
              <w:rPr>
                <w:sz w:val="24"/>
                <w:szCs w:val="24"/>
                <w:color w:val="auto"/>
              </w:rPr>
            </w:pPr>
          </w:p>
        </w:tc>
        <w:tc>
          <w:tcPr>
            <w:tcW w:w="700" w:type="dxa"/>
            <w:vAlign w:val="bottom"/>
            <w:tcBorders>
              <w:top w:val="single" w:sz="8" w:color="auto"/>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66"/>
        </w:trPr>
        <w:tc>
          <w:tcPr>
            <w:tcW w:w="5280" w:type="dxa"/>
            <w:vAlign w:val="bottom"/>
            <w:tcBorders>
              <w:left w:val="single" w:sz="8" w:color="auto"/>
              <w:right w:val="single" w:sz="8" w:color="auto"/>
            </w:tcBorders>
            <w:vMerge w:val="continue"/>
          </w:tcPr>
          <w:p>
            <w:pPr>
              <w:spacing w:after="0"/>
              <w:rPr>
                <w:sz w:val="14"/>
                <w:szCs w:val="14"/>
                <w:color w:val="auto"/>
              </w:rPr>
            </w:pPr>
          </w:p>
        </w:tc>
        <w:tc>
          <w:tcPr>
            <w:tcW w:w="780" w:type="dxa"/>
            <w:vAlign w:val="bottom"/>
            <w:tcBorders>
              <w:right w:val="single" w:sz="8" w:color="auto"/>
            </w:tcBorders>
            <w:vMerge w:val="restart"/>
          </w:tcPr>
          <w:p>
            <w:pPr>
              <w:jc w:val="center"/>
              <w:spacing w:after="0" w:line="312" w:lineRule="exact"/>
              <w:rPr>
                <w:sz w:val="20"/>
                <w:szCs w:val="20"/>
                <w:color w:val="auto"/>
              </w:rPr>
            </w:pPr>
            <w:r>
              <w:rPr>
                <w:rFonts w:ascii="Times New Roman" w:cs="Times New Roman" w:eastAsia="Times New Roman" w:hAnsi="Times New Roman"/>
                <w:sz w:val="28"/>
                <w:szCs w:val="28"/>
                <w:color w:val="auto"/>
                <w:w w:val="99"/>
              </w:rPr>
              <w:t>1</w:t>
            </w:r>
          </w:p>
        </w:tc>
        <w:tc>
          <w:tcPr>
            <w:tcW w:w="740" w:type="dxa"/>
            <w:vAlign w:val="bottom"/>
            <w:tcBorders>
              <w:right w:val="single" w:sz="8" w:color="auto"/>
            </w:tcBorders>
            <w:vMerge w:val="restart"/>
          </w:tcPr>
          <w:p>
            <w:pPr>
              <w:jc w:val="center"/>
              <w:spacing w:after="0" w:line="312" w:lineRule="exact"/>
              <w:rPr>
                <w:sz w:val="20"/>
                <w:szCs w:val="20"/>
                <w:color w:val="auto"/>
              </w:rPr>
            </w:pPr>
            <w:r>
              <w:rPr>
                <w:rFonts w:ascii="Times New Roman" w:cs="Times New Roman" w:eastAsia="Times New Roman" w:hAnsi="Times New Roman"/>
                <w:sz w:val="28"/>
                <w:szCs w:val="28"/>
                <w:color w:val="auto"/>
                <w:w w:val="99"/>
              </w:rPr>
              <w:t>2</w:t>
            </w:r>
          </w:p>
        </w:tc>
        <w:tc>
          <w:tcPr>
            <w:tcW w:w="680" w:type="dxa"/>
            <w:vAlign w:val="bottom"/>
            <w:tcBorders>
              <w:right w:val="single" w:sz="8" w:color="auto"/>
            </w:tcBorders>
            <w:vMerge w:val="restart"/>
          </w:tcPr>
          <w:p>
            <w:pPr>
              <w:jc w:val="center"/>
              <w:spacing w:after="0" w:line="312" w:lineRule="exact"/>
              <w:rPr>
                <w:sz w:val="20"/>
                <w:szCs w:val="20"/>
                <w:color w:val="auto"/>
              </w:rPr>
            </w:pPr>
            <w:r>
              <w:rPr>
                <w:rFonts w:ascii="Times New Roman" w:cs="Times New Roman" w:eastAsia="Times New Roman" w:hAnsi="Times New Roman"/>
                <w:sz w:val="28"/>
                <w:szCs w:val="28"/>
                <w:color w:val="auto"/>
                <w:w w:val="99"/>
              </w:rPr>
              <w:t>3</w:t>
            </w:r>
          </w:p>
        </w:tc>
        <w:tc>
          <w:tcPr>
            <w:tcW w:w="620" w:type="dxa"/>
            <w:vAlign w:val="bottom"/>
            <w:tcBorders>
              <w:right w:val="single" w:sz="8" w:color="auto"/>
            </w:tcBorders>
            <w:vMerge w:val="restart"/>
          </w:tcPr>
          <w:p>
            <w:pPr>
              <w:jc w:val="center"/>
              <w:spacing w:after="0" w:line="312" w:lineRule="exact"/>
              <w:rPr>
                <w:sz w:val="20"/>
                <w:szCs w:val="20"/>
                <w:color w:val="auto"/>
              </w:rPr>
            </w:pPr>
            <w:r>
              <w:rPr>
                <w:rFonts w:ascii="Times New Roman" w:cs="Times New Roman" w:eastAsia="Times New Roman" w:hAnsi="Times New Roman"/>
                <w:sz w:val="28"/>
                <w:szCs w:val="28"/>
                <w:color w:val="auto"/>
                <w:w w:val="99"/>
              </w:rPr>
              <w:t>4</w:t>
            </w:r>
          </w:p>
        </w:tc>
        <w:tc>
          <w:tcPr>
            <w:tcW w:w="760" w:type="dxa"/>
            <w:vAlign w:val="bottom"/>
            <w:tcBorders>
              <w:right w:val="single" w:sz="8" w:color="auto"/>
            </w:tcBorders>
            <w:vMerge w:val="restart"/>
          </w:tcPr>
          <w:p>
            <w:pPr>
              <w:jc w:val="center"/>
              <w:spacing w:after="0" w:line="312" w:lineRule="exact"/>
              <w:rPr>
                <w:sz w:val="20"/>
                <w:szCs w:val="20"/>
                <w:color w:val="auto"/>
              </w:rPr>
            </w:pPr>
            <w:r>
              <w:rPr>
                <w:rFonts w:ascii="Times New Roman" w:cs="Times New Roman" w:eastAsia="Times New Roman" w:hAnsi="Times New Roman"/>
                <w:sz w:val="28"/>
                <w:szCs w:val="28"/>
                <w:color w:val="auto"/>
                <w:w w:val="99"/>
              </w:rPr>
              <w:t>5</w:t>
            </w:r>
          </w:p>
        </w:tc>
        <w:tc>
          <w:tcPr>
            <w:tcW w:w="700" w:type="dxa"/>
            <w:vAlign w:val="bottom"/>
            <w:tcBorders>
              <w:right w:val="single" w:sz="8" w:color="auto"/>
            </w:tcBorders>
            <w:vMerge w:val="restart"/>
          </w:tcPr>
          <w:p>
            <w:pPr>
              <w:jc w:val="center"/>
              <w:spacing w:after="0" w:line="312" w:lineRule="exact"/>
              <w:rPr>
                <w:sz w:val="20"/>
                <w:szCs w:val="20"/>
                <w:color w:val="auto"/>
              </w:rPr>
            </w:pPr>
            <w:r>
              <w:rPr>
                <w:rFonts w:ascii="Times New Roman" w:cs="Times New Roman" w:eastAsia="Times New Roman" w:hAnsi="Times New Roman"/>
                <w:sz w:val="28"/>
                <w:szCs w:val="28"/>
                <w:color w:val="auto"/>
                <w:w w:val="99"/>
              </w:rPr>
              <w:t>6</w:t>
            </w:r>
          </w:p>
        </w:tc>
        <w:tc>
          <w:tcPr>
            <w:tcW w:w="0" w:type="dxa"/>
            <w:vAlign w:val="bottom"/>
          </w:tcPr>
          <w:p>
            <w:pPr>
              <w:spacing w:after="0"/>
              <w:rPr>
                <w:sz w:val="1"/>
                <w:szCs w:val="1"/>
                <w:color w:val="auto"/>
              </w:rPr>
            </w:pPr>
          </w:p>
        </w:tc>
      </w:tr>
      <w:tr>
        <w:trPr>
          <w:trHeight w:val="146"/>
        </w:trPr>
        <w:tc>
          <w:tcPr>
            <w:tcW w:w="5280" w:type="dxa"/>
            <w:vAlign w:val="bottom"/>
            <w:tcBorders>
              <w:left w:val="single" w:sz="8" w:color="auto"/>
              <w:bottom w:val="single" w:sz="8" w:color="auto"/>
              <w:right w:val="single" w:sz="8" w:color="auto"/>
            </w:tcBorders>
          </w:tcPr>
          <w:p>
            <w:pPr>
              <w:spacing w:after="0"/>
              <w:rPr>
                <w:sz w:val="12"/>
                <w:szCs w:val="12"/>
                <w:color w:val="auto"/>
              </w:rPr>
            </w:pPr>
          </w:p>
        </w:tc>
        <w:tc>
          <w:tcPr>
            <w:tcW w:w="780" w:type="dxa"/>
            <w:vAlign w:val="bottom"/>
            <w:tcBorders>
              <w:bottom w:val="single" w:sz="8" w:color="auto"/>
              <w:right w:val="single" w:sz="8" w:color="auto"/>
            </w:tcBorders>
            <w:vMerge w:val="continue"/>
          </w:tcPr>
          <w:p>
            <w:pPr>
              <w:spacing w:after="0"/>
              <w:rPr>
                <w:sz w:val="12"/>
                <w:szCs w:val="12"/>
                <w:color w:val="auto"/>
              </w:rPr>
            </w:pPr>
          </w:p>
        </w:tc>
        <w:tc>
          <w:tcPr>
            <w:tcW w:w="740" w:type="dxa"/>
            <w:vAlign w:val="bottom"/>
            <w:tcBorders>
              <w:bottom w:val="single" w:sz="8" w:color="auto"/>
              <w:right w:val="single" w:sz="8" w:color="auto"/>
            </w:tcBorders>
            <w:vMerge w:val="continue"/>
          </w:tcPr>
          <w:p>
            <w:pPr>
              <w:spacing w:after="0"/>
              <w:rPr>
                <w:sz w:val="12"/>
                <w:szCs w:val="12"/>
                <w:color w:val="auto"/>
              </w:rPr>
            </w:pPr>
          </w:p>
        </w:tc>
        <w:tc>
          <w:tcPr>
            <w:tcW w:w="680" w:type="dxa"/>
            <w:vAlign w:val="bottom"/>
            <w:tcBorders>
              <w:bottom w:val="single" w:sz="8" w:color="auto"/>
              <w:right w:val="single" w:sz="8" w:color="auto"/>
            </w:tcBorders>
            <w:vMerge w:val="continue"/>
          </w:tcPr>
          <w:p>
            <w:pPr>
              <w:spacing w:after="0"/>
              <w:rPr>
                <w:sz w:val="12"/>
                <w:szCs w:val="12"/>
                <w:color w:val="auto"/>
              </w:rPr>
            </w:pPr>
          </w:p>
        </w:tc>
        <w:tc>
          <w:tcPr>
            <w:tcW w:w="620" w:type="dxa"/>
            <w:vAlign w:val="bottom"/>
            <w:tcBorders>
              <w:bottom w:val="single" w:sz="8" w:color="auto"/>
              <w:right w:val="single" w:sz="8" w:color="auto"/>
            </w:tcBorders>
            <w:vMerge w:val="continue"/>
          </w:tcPr>
          <w:p>
            <w:pPr>
              <w:spacing w:after="0"/>
              <w:rPr>
                <w:sz w:val="12"/>
                <w:szCs w:val="12"/>
                <w:color w:val="auto"/>
              </w:rPr>
            </w:pPr>
          </w:p>
        </w:tc>
        <w:tc>
          <w:tcPr>
            <w:tcW w:w="760" w:type="dxa"/>
            <w:vAlign w:val="bottom"/>
            <w:tcBorders>
              <w:bottom w:val="single" w:sz="8" w:color="auto"/>
              <w:right w:val="single" w:sz="8" w:color="auto"/>
            </w:tcBorders>
            <w:vMerge w:val="continue"/>
          </w:tcPr>
          <w:p>
            <w:pPr>
              <w:spacing w:after="0"/>
              <w:rPr>
                <w:sz w:val="12"/>
                <w:szCs w:val="12"/>
                <w:color w:val="auto"/>
              </w:rPr>
            </w:pPr>
          </w:p>
        </w:tc>
        <w:tc>
          <w:tcPr>
            <w:tcW w:w="700" w:type="dxa"/>
            <w:vAlign w:val="bottom"/>
            <w:tcBorders>
              <w:bottom w:val="single" w:sz="8" w:color="auto"/>
              <w:right w:val="single" w:sz="8" w:color="auto"/>
            </w:tcBorders>
            <w:vMerge w:val="continue"/>
          </w:tcPr>
          <w:p>
            <w:pPr>
              <w:spacing w:after="0"/>
              <w:rPr>
                <w:sz w:val="12"/>
                <w:szCs w:val="12"/>
                <w:color w:val="auto"/>
              </w:rPr>
            </w:pPr>
          </w:p>
        </w:tc>
        <w:tc>
          <w:tcPr>
            <w:tcW w:w="0" w:type="dxa"/>
            <w:vAlign w:val="bottom"/>
          </w:tcPr>
          <w:p>
            <w:pPr>
              <w:spacing w:after="0"/>
              <w:rPr>
                <w:sz w:val="1"/>
                <w:szCs w:val="1"/>
                <w:color w:val="auto"/>
              </w:rPr>
            </w:pPr>
          </w:p>
        </w:tc>
      </w:tr>
      <w:tr>
        <w:trPr>
          <w:trHeight w:val="359"/>
        </w:trPr>
        <w:tc>
          <w:tcPr>
            <w:tcW w:w="5280" w:type="dxa"/>
            <w:vAlign w:val="bottom"/>
            <w:tcBorders>
              <w:left w:val="single" w:sz="8" w:color="auto"/>
              <w:bottom w:val="single" w:sz="8" w:color="auto"/>
              <w:right w:val="single" w:sz="8" w:color="auto"/>
            </w:tcBorders>
          </w:tcPr>
          <w:p>
            <w:pPr>
              <w:ind w:left="40"/>
              <w:spacing w:after="0"/>
              <w:rPr>
                <w:sz w:val="20"/>
                <w:szCs w:val="20"/>
                <w:color w:val="auto"/>
              </w:rPr>
            </w:pPr>
            <w:r>
              <w:rPr>
                <w:rFonts w:ascii="Times New Roman" w:cs="Times New Roman" w:eastAsia="Times New Roman" w:hAnsi="Times New Roman"/>
                <w:sz w:val="28"/>
                <w:szCs w:val="28"/>
                <w:color w:val="auto"/>
              </w:rPr>
              <w:t>Выручка</w:t>
            </w:r>
          </w:p>
        </w:tc>
        <w:tc>
          <w:tcPr>
            <w:tcW w:w="78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8"/>
                <w:szCs w:val="28"/>
                <w:color w:val="auto"/>
                <w:w w:val="99"/>
              </w:rPr>
              <w:t>1000</w:t>
            </w:r>
          </w:p>
        </w:tc>
        <w:tc>
          <w:tcPr>
            <w:tcW w:w="74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8"/>
                <w:szCs w:val="28"/>
                <w:color w:val="auto"/>
                <w:w w:val="99"/>
              </w:rPr>
              <w:t>1200</w:t>
            </w:r>
          </w:p>
        </w:tc>
        <w:tc>
          <w:tcPr>
            <w:tcW w:w="68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8"/>
                <w:szCs w:val="28"/>
                <w:color w:val="auto"/>
                <w:w w:val="99"/>
              </w:rPr>
              <w:t>1500</w:t>
            </w:r>
          </w:p>
        </w:tc>
        <w:tc>
          <w:tcPr>
            <w:tcW w:w="62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8"/>
                <w:szCs w:val="28"/>
                <w:color w:val="auto"/>
                <w:w w:val="99"/>
              </w:rPr>
              <w:t>1500</w:t>
            </w:r>
          </w:p>
        </w:tc>
        <w:tc>
          <w:tcPr>
            <w:tcW w:w="76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8"/>
                <w:szCs w:val="28"/>
                <w:color w:val="auto"/>
                <w:w w:val="99"/>
              </w:rPr>
              <w:t>1500</w:t>
            </w:r>
          </w:p>
        </w:tc>
        <w:tc>
          <w:tcPr>
            <w:tcW w:w="70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8"/>
                <w:szCs w:val="28"/>
                <w:color w:val="auto"/>
                <w:w w:val="99"/>
              </w:rPr>
              <w:t>1500</w:t>
            </w:r>
          </w:p>
        </w:tc>
        <w:tc>
          <w:tcPr>
            <w:tcW w:w="0" w:type="dxa"/>
            <w:vAlign w:val="bottom"/>
          </w:tcPr>
          <w:p>
            <w:pPr>
              <w:spacing w:after="0"/>
              <w:rPr>
                <w:sz w:val="1"/>
                <w:szCs w:val="1"/>
                <w:color w:val="auto"/>
              </w:rPr>
            </w:pPr>
          </w:p>
        </w:tc>
      </w:tr>
      <w:tr>
        <w:trPr>
          <w:trHeight w:val="341"/>
        </w:trPr>
        <w:tc>
          <w:tcPr>
            <w:tcW w:w="5280" w:type="dxa"/>
            <w:vAlign w:val="bottom"/>
            <w:tcBorders>
              <w:left w:val="single" w:sz="8" w:color="auto"/>
              <w:bottom w:val="single" w:sz="8" w:color="auto"/>
              <w:right w:val="single" w:sz="8" w:color="auto"/>
            </w:tcBorders>
          </w:tcPr>
          <w:p>
            <w:pPr>
              <w:ind w:left="40"/>
              <w:spacing w:after="0"/>
              <w:rPr>
                <w:sz w:val="20"/>
                <w:szCs w:val="20"/>
                <w:color w:val="auto"/>
              </w:rPr>
            </w:pPr>
            <w:r>
              <w:rPr>
                <w:rFonts w:ascii="Times New Roman" w:cs="Times New Roman" w:eastAsia="Times New Roman" w:hAnsi="Times New Roman"/>
                <w:sz w:val="28"/>
                <w:szCs w:val="28"/>
                <w:color w:val="auto"/>
              </w:rPr>
              <w:t>Прибыль до вычета процентов и налогов</w:t>
            </w:r>
          </w:p>
        </w:tc>
        <w:tc>
          <w:tcPr>
            <w:tcW w:w="78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8"/>
                <w:szCs w:val="28"/>
                <w:color w:val="auto"/>
                <w:w w:val="99"/>
              </w:rPr>
              <w:t>200</w:t>
            </w:r>
          </w:p>
        </w:tc>
        <w:tc>
          <w:tcPr>
            <w:tcW w:w="74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8"/>
                <w:szCs w:val="28"/>
                <w:color w:val="auto"/>
                <w:w w:val="99"/>
              </w:rPr>
              <w:t>240</w:t>
            </w:r>
          </w:p>
        </w:tc>
        <w:tc>
          <w:tcPr>
            <w:tcW w:w="68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8"/>
                <w:szCs w:val="28"/>
                <w:color w:val="auto"/>
                <w:w w:val="99"/>
              </w:rPr>
              <w:t>300</w:t>
            </w:r>
          </w:p>
        </w:tc>
        <w:tc>
          <w:tcPr>
            <w:tcW w:w="62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8"/>
                <w:szCs w:val="28"/>
                <w:color w:val="auto"/>
                <w:w w:val="99"/>
              </w:rPr>
              <w:t>300</w:t>
            </w:r>
          </w:p>
        </w:tc>
        <w:tc>
          <w:tcPr>
            <w:tcW w:w="76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8"/>
                <w:szCs w:val="28"/>
                <w:color w:val="auto"/>
                <w:w w:val="99"/>
              </w:rPr>
              <w:t>300</w:t>
            </w:r>
          </w:p>
        </w:tc>
        <w:tc>
          <w:tcPr>
            <w:tcW w:w="70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8"/>
                <w:szCs w:val="28"/>
                <w:color w:val="auto"/>
                <w:w w:val="99"/>
              </w:rPr>
              <w:t>300</w:t>
            </w:r>
          </w:p>
        </w:tc>
        <w:tc>
          <w:tcPr>
            <w:tcW w:w="0" w:type="dxa"/>
            <w:vAlign w:val="bottom"/>
          </w:tcPr>
          <w:p>
            <w:pPr>
              <w:spacing w:after="0"/>
              <w:rPr>
                <w:sz w:val="1"/>
                <w:szCs w:val="1"/>
                <w:color w:val="auto"/>
              </w:rPr>
            </w:pPr>
          </w:p>
        </w:tc>
      </w:tr>
      <w:tr>
        <w:trPr>
          <w:trHeight w:val="290"/>
        </w:trPr>
        <w:tc>
          <w:tcPr>
            <w:tcW w:w="5280" w:type="dxa"/>
            <w:vAlign w:val="bottom"/>
            <w:tcBorders>
              <w:left w:val="single" w:sz="8" w:color="auto"/>
              <w:right w:val="single" w:sz="8" w:color="auto"/>
            </w:tcBorders>
          </w:tcPr>
          <w:p>
            <w:pPr>
              <w:ind w:left="40"/>
              <w:spacing w:after="0" w:line="289" w:lineRule="exact"/>
              <w:rPr>
                <w:sz w:val="20"/>
                <w:szCs w:val="20"/>
                <w:color w:val="auto"/>
              </w:rPr>
            </w:pPr>
            <w:r>
              <w:rPr>
                <w:rFonts w:ascii="Times New Roman" w:cs="Times New Roman" w:eastAsia="Times New Roman" w:hAnsi="Times New Roman"/>
                <w:sz w:val="28"/>
                <w:szCs w:val="28"/>
                <w:color w:val="auto"/>
              </w:rPr>
              <w:t>Чистая операционная прибыль после</w:t>
            </w:r>
          </w:p>
        </w:tc>
        <w:tc>
          <w:tcPr>
            <w:tcW w:w="780" w:type="dxa"/>
            <w:vAlign w:val="bottom"/>
            <w:tcBorders>
              <w:right w:val="single" w:sz="8" w:color="auto"/>
            </w:tcBorders>
          </w:tcPr>
          <w:p>
            <w:pPr>
              <w:jc w:val="center"/>
              <w:spacing w:after="0" w:line="289" w:lineRule="exact"/>
              <w:rPr>
                <w:sz w:val="20"/>
                <w:szCs w:val="20"/>
                <w:color w:val="auto"/>
              </w:rPr>
            </w:pPr>
            <w:r>
              <w:rPr>
                <w:rFonts w:ascii="Times New Roman" w:cs="Times New Roman" w:eastAsia="Times New Roman" w:hAnsi="Times New Roman"/>
                <w:sz w:val="28"/>
                <w:szCs w:val="28"/>
                <w:color w:val="auto"/>
                <w:w w:val="99"/>
              </w:rPr>
              <w:t>152</w:t>
            </w:r>
          </w:p>
        </w:tc>
        <w:tc>
          <w:tcPr>
            <w:tcW w:w="740" w:type="dxa"/>
            <w:vAlign w:val="bottom"/>
            <w:tcBorders>
              <w:right w:val="single" w:sz="8" w:color="auto"/>
            </w:tcBorders>
          </w:tcPr>
          <w:p>
            <w:pPr>
              <w:jc w:val="center"/>
              <w:spacing w:after="0" w:line="289" w:lineRule="exact"/>
              <w:rPr>
                <w:sz w:val="20"/>
                <w:szCs w:val="20"/>
                <w:color w:val="auto"/>
              </w:rPr>
            </w:pPr>
            <w:r>
              <w:rPr>
                <w:rFonts w:ascii="Times New Roman" w:cs="Times New Roman" w:eastAsia="Times New Roman" w:hAnsi="Times New Roman"/>
                <w:sz w:val="28"/>
                <w:szCs w:val="28"/>
                <w:color w:val="auto"/>
                <w:w w:val="99"/>
              </w:rPr>
              <w:t>182</w:t>
            </w:r>
          </w:p>
        </w:tc>
        <w:tc>
          <w:tcPr>
            <w:tcW w:w="680" w:type="dxa"/>
            <w:vAlign w:val="bottom"/>
            <w:tcBorders>
              <w:right w:val="single" w:sz="8" w:color="auto"/>
            </w:tcBorders>
          </w:tcPr>
          <w:p>
            <w:pPr>
              <w:jc w:val="center"/>
              <w:spacing w:after="0" w:line="289" w:lineRule="exact"/>
              <w:rPr>
                <w:sz w:val="20"/>
                <w:szCs w:val="20"/>
                <w:color w:val="auto"/>
              </w:rPr>
            </w:pPr>
            <w:r>
              <w:rPr>
                <w:rFonts w:ascii="Times New Roman" w:cs="Times New Roman" w:eastAsia="Times New Roman" w:hAnsi="Times New Roman"/>
                <w:sz w:val="28"/>
                <w:szCs w:val="28"/>
                <w:color w:val="auto"/>
                <w:w w:val="99"/>
              </w:rPr>
              <w:t>228</w:t>
            </w:r>
          </w:p>
        </w:tc>
        <w:tc>
          <w:tcPr>
            <w:tcW w:w="620" w:type="dxa"/>
            <w:vAlign w:val="bottom"/>
            <w:tcBorders>
              <w:right w:val="single" w:sz="8" w:color="auto"/>
            </w:tcBorders>
          </w:tcPr>
          <w:p>
            <w:pPr>
              <w:jc w:val="center"/>
              <w:spacing w:after="0" w:line="289" w:lineRule="exact"/>
              <w:rPr>
                <w:sz w:val="20"/>
                <w:szCs w:val="20"/>
                <w:color w:val="auto"/>
              </w:rPr>
            </w:pPr>
            <w:r>
              <w:rPr>
                <w:rFonts w:ascii="Times New Roman" w:cs="Times New Roman" w:eastAsia="Times New Roman" w:hAnsi="Times New Roman"/>
                <w:sz w:val="28"/>
                <w:szCs w:val="28"/>
                <w:color w:val="auto"/>
                <w:w w:val="99"/>
              </w:rPr>
              <w:t>228</w:t>
            </w:r>
          </w:p>
        </w:tc>
        <w:tc>
          <w:tcPr>
            <w:tcW w:w="760" w:type="dxa"/>
            <w:vAlign w:val="bottom"/>
            <w:tcBorders>
              <w:right w:val="single" w:sz="8" w:color="auto"/>
            </w:tcBorders>
          </w:tcPr>
          <w:p>
            <w:pPr>
              <w:jc w:val="center"/>
              <w:spacing w:after="0" w:line="289" w:lineRule="exact"/>
              <w:rPr>
                <w:sz w:val="20"/>
                <w:szCs w:val="20"/>
                <w:color w:val="auto"/>
              </w:rPr>
            </w:pPr>
            <w:r>
              <w:rPr>
                <w:rFonts w:ascii="Times New Roman" w:cs="Times New Roman" w:eastAsia="Times New Roman" w:hAnsi="Times New Roman"/>
                <w:sz w:val="28"/>
                <w:szCs w:val="28"/>
                <w:color w:val="auto"/>
                <w:w w:val="99"/>
              </w:rPr>
              <w:t>228</w:t>
            </w:r>
          </w:p>
        </w:tc>
        <w:tc>
          <w:tcPr>
            <w:tcW w:w="700" w:type="dxa"/>
            <w:vAlign w:val="bottom"/>
            <w:tcBorders>
              <w:right w:val="single" w:sz="8" w:color="auto"/>
            </w:tcBorders>
          </w:tcPr>
          <w:p>
            <w:pPr>
              <w:jc w:val="center"/>
              <w:spacing w:after="0" w:line="289" w:lineRule="exact"/>
              <w:rPr>
                <w:sz w:val="20"/>
                <w:szCs w:val="20"/>
                <w:color w:val="auto"/>
              </w:rPr>
            </w:pPr>
            <w:r>
              <w:rPr>
                <w:rFonts w:ascii="Times New Roman" w:cs="Times New Roman" w:eastAsia="Times New Roman" w:hAnsi="Times New Roman"/>
                <w:sz w:val="28"/>
                <w:szCs w:val="28"/>
                <w:color w:val="auto"/>
                <w:w w:val="99"/>
              </w:rPr>
              <w:t>228</w:t>
            </w:r>
          </w:p>
        </w:tc>
        <w:tc>
          <w:tcPr>
            <w:tcW w:w="0" w:type="dxa"/>
            <w:vAlign w:val="bottom"/>
          </w:tcPr>
          <w:p>
            <w:pPr>
              <w:spacing w:after="0"/>
              <w:rPr>
                <w:sz w:val="1"/>
                <w:szCs w:val="1"/>
                <w:color w:val="auto"/>
              </w:rPr>
            </w:pPr>
          </w:p>
        </w:tc>
      </w:tr>
      <w:tr>
        <w:trPr>
          <w:trHeight w:val="344"/>
        </w:trPr>
        <w:tc>
          <w:tcPr>
            <w:tcW w:w="5280" w:type="dxa"/>
            <w:vAlign w:val="bottom"/>
            <w:tcBorders>
              <w:left w:val="single" w:sz="8" w:color="auto"/>
              <w:bottom w:val="single" w:sz="8" w:color="auto"/>
              <w:right w:val="single" w:sz="8" w:color="auto"/>
            </w:tcBorders>
          </w:tcPr>
          <w:p>
            <w:pPr>
              <w:ind w:left="40"/>
              <w:spacing w:after="0"/>
              <w:rPr>
                <w:sz w:val="20"/>
                <w:szCs w:val="20"/>
                <w:color w:val="auto"/>
              </w:rPr>
            </w:pPr>
            <w:r>
              <w:rPr>
                <w:rFonts w:ascii="Times New Roman" w:cs="Times New Roman" w:eastAsia="Times New Roman" w:hAnsi="Times New Roman"/>
                <w:sz w:val="28"/>
                <w:szCs w:val="28"/>
                <w:color w:val="auto"/>
              </w:rPr>
              <w:t>налогообложения</w:t>
            </w:r>
          </w:p>
        </w:tc>
        <w:tc>
          <w:tcPr>
            <w:tcW w:w="780" w:type="dxa"/>
            <w:vAlign w:val="bottom"/>
            <w:tcBorders>
              <w:bottom w:val="single" w:sz="8" w:color="auto"/>
              <w:right w:val="single" w:sz="8" w:color="auto"/>
            </w:tcBorders>
          </w:tcPr>
          <w:p>
            <w:pPr>
              <w:spacing w:after="0"/>
              <w:rPr>
                <w:sz w:val="24"/>
                <w:szCs w:val="24"/>
                <w:color w:val="auto"/>
              </w:rPr>
            </w:pPr>
          </w:p>
        </w:tc>
        <w:tc>
          <w:tcPr>
            <w:tcW w:w="740" w:type="dxa"/>
            <w:vAlign w:val="bottom"/>
            <w:tcBorders>
              <w:bottom w:val="single" w:sz="8" w:color="auto"/>
              <w:right w:val="single" w:sz="8" w:color="auto"/>
            </w:tcBorders>
          </w:tcPr>
          <w:p>
            <w:pPr>
              <w:spacing w:after="0"/>
              <w:rPr>
                <w:sz w:val="24"/>
                <w:szCs w:val="24"/>
                <w:color w:val="auto"/>
              </w:rPr>
            </w:pPr>
          </w:p>
        </w:tc>
        <w:tc>
          <w:tcPr>
            <w:tcW w:w="680" w:type="dxa"/>
            <w:vAlign w:val="bottom"/>
            <w:tcBorders>
              <w:bottom w:val="single" w:sz="8" w:color="auto"/>
              <w:right w:val="single" w:sz="8" w:color="auto"/>
            </w:tcBorders>
          </w:tcPr>
          <w:p>
            <w:pPr>
              <w:spacing w:after="0"/>
              <w:rPr>
                <w:sz w:val="24"/>
                <w:szCs w:val="24"/>
                <w:color w:val="auto"/>
              </w:rPr>
            </w:pPr>
          </w:p>
        </w:tc>
        <w:tc>
          <w:tcPr>
            <w:tcW w:w="620" w:type="dxa"/>
            <w:vAlign w:val="bottom"/>
            <w:tcBorders>
              <w:bottom w:val="single" w:sz="8" w:color="auto"/>
              <w:right w:val="single" w:sz="8" w:color="auto"/>
            </w:tcBorders>
          </w:tcPr>
          <w:p>
            <w:pPr>
              <w:spacing w:after="0"/>
              <w:rPr>
                <w:sz w:val="24"/>
                <w:szCs w:val="24"/>
                <w:color w:val="auto"/>
              </w:rPr>
            </w:pPr>
          </w:p>
        </w:tc>
        <w:tc>
          <w:tcPr>
            <w:tcW w:w="760" w:type="dxa"/>
            <w:vAlign w:val="bottom"/>
            <w:tcBorders>
              <w:bottom w:val="single" w:sz="8" w:color="auto"/>
              <w:right w:val="single" w:sz="8" w:color="auto"/>
            </w:tcBorders>
          </w:tcPr>
          <w:p>
            <w:pPr>
              <w:spacing w:after="0"/>
              <w:rPr>
                <w:sz w:val="24"/>
                <w:szCs w:val="24"/>
                <w:color w:val="auto"/>
              </w:rPr>
            </w:pPr>
          </w:p>
        </w:tc>
        <w:tc>
          <w:tcPr>
            <w:tcW w:w="70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11"/>
        </w:trPr>
        <w:tc>
          <w:tcPr>
            <w:tcW w:w="5280" w:type="dxa"/>
            <w:vAlign w:val="bottom"/>
            <w:tcBorders>
              <w:left w:val="single" w:sz="8" w:color="auto"/>
              <w:bottom w:val="single" w:sz="8" w:color="auto"/>
              <w:right w:val="single" w:sz="8" w:color="auto"/>
            </w:tcBorders>
          </w:tcPr>
          <w:p>
            <w:pPr>
              <w:ind w:left="40"/>
              <w:spacing w:after="0" w:line="310" w:lineRule="exact"/>
              <w:rPr>
                <w:sz w:val="20"/>
                <w:szCs w:val="20"/>
                <w:color w:val="auto"/>
              </w:rPr>
            </w:pPr>
            <w:r>
              <w:rPr>
                <w:rFonts w:ascii="Times New Roman" w:cs="Times New Roman" w:eastAsia="Times New Roman" w:hAnsi="Times New Roman"/>
                <w:sz w:val="28"/>
                <w:szCs w:val="28"/>
                <w:color w:val="auto"/>
              </w:rPr>
              <w:t>Стратегические инвестиции</w:t>
            </w:r>
          </w:p>
        </w:tc>
        <w:tc>
          <w:tcPr>
            <w:tcW w:w="780" w:type="dxa"/>
            <w:vAlign w:val="bottom"/>
            <w:tcBorders>
              <w:bottom w:val="single" w:sz="8" w:color="auto"/>
              <w:right w:val="single" w:sz="8" w:color="auto"/>
            </w:tcBorders>
          </w:tcPr>
          <w:p>
            <w:pPr>
              <w:jc w:val="center"/>
              <w:spacing w:after="0" w:line="310" w:lineRule="exact"/>
              <w:rPr>
                <w:sz w:val="20"/>
                <w:szCs w:val="20"/>
                <w:color w:val="auto"/>
              </w:rPr>
            </w:pPr>
            <w:r>
              <w:rPr>
                <w:rFonts w:ascii="Times New Roman" w:cs="Times New Roman" w:eastAsia="Times New Roman" w:hAnsi="Times New Roman"/>
                <w:sz w:val="28"/>
                <w:szCs w:val="28"/>
                <w:color w:val="auto"/>
                <w:w w:val="99"/>
              </w:rPr>
              <w:t>0</w:t>
            </w:r>
          </w:p>
        </w:tc>
        <w:tc>
          <w:tcPr>
            <w:tcW w:w="740" w:type="dxa"/>
            <w:vAlign w:val="bottom"/>
            <w:tcBorders>
              <w:bottom w:val="single" w:sz="8" w:color="auto"/>
              <w:right w:val="single" w:sz="8" w:color="auto"/>
            </w:tcBorders>
          </w:tcPr>
          <w:p>
            <w:pPr>
              <w:jc w:val="center"/>
              <w:spacing w:after="0" w:line="310" w:lineRule="exact"/>
              <w:rPr>
                <w:sz w:val="20"/>
                <w:szCs w:val="20"/>
                <w:color w:val="auto"/>
              </w:rPr>
            </w:pPr>
            <w:r>
              <w:rPr>
                <w:rFonts w:ascii="Times New Roman" w:cs="Times New Roman" w:eastAsia="Times New Roman" w:hAnsi="Times New Roman"/>
                <w:sz w:val="28"/>
                <w:szCs w:val="28"/>
                <w:color w:val="auto"/>
                <w:w w:val="99"/>
              </w:rPr>
              <w:t>100</w:t>
            </w:r>
          </w:p>
        </w:tc>
        <w:tc>
          <w:tcPr>
            <w:tcW w:w="680" w:type="dxa"/>
            <w:vAlign w:val="bottom"/>
            <w:tcBorders>
              <w:bottom w:val="single" w:sz="8" w:color="auto"/>
              <w:right w:val="single" w:sz="8" w:color="auto"/>
            </w:tcBorders>
          </w:tcPr>
          <w:p>
            <w:pPr>
              <w:jc w:val="center"/>
              <w:spacing w:after="0" w:line="310" w:lineRule="exact"/>
              <w:rPr>
                <w:sz w:val="20"/>
                <w:szCs w:val="20"/>
                <w:color w:val="auto"/>
              </w:rPr>
            </w:pPr>
            <w:r>
              <w:rPr>
                <w:rFonts w:ascii="Times New Roman" w:cs="Times New Roman" w:eastAsia="Times New Roman" w:hAnsi="Times New Roman"/>
                <w:sz w:val="28"/>
                <w:szCs w:val="28"/>
                <w:color w:val="auto"/>
              </w:rPr>
              <w:t>-400</w:t>
            </w:r>
          </w:p>
        </w:tc>
        <w:tc>
          <w:tcPr>
            <w:tcW w:w="620" w:type="dxa"/>
            <w:vAlign w:val="bottom"/>
            <w:tcBorders>
              <w:bottom w:val="single" w:sz="8" w:color="auto"/>
              <w:right w:val="single" w:sz="8" w:color="auto"/>
            </w:tcBorders>
          </w:tcPr>
          <w:p>
            <w:pPr>
              <w:jc w:val="center"/>
              <w:spacing w:after="0" w:line="310" w:lineRule="exact"/>
              <w:rPr>
                <w:sz w:val="20"/>
                <w:szCs w:val="20"/>
                <w:color w:val="auto"/>
              </w:rPr>
            </w:pPr>
            <w:r>
              <w:rPr>
                <w:rFonts w:ascii="Times New Roman" w:cs="Times New Roman" w:eastAsia="Times New Roman" w:hAnsi="Times New Roman"/>
                <w:sz w:val="28"/>
                <w:szCs w:val="28"/>
                <w:color w:val="auto"/>
                <w:w w:val="99"/>
              </w:rPr>
              <w:t>0</w:t>
            </w:r>
          </w:p>
        </w:tc>
        <w:tc>
          <w:tcPr>
            <w:tcW w:w="760" w:type="dxa"/>
            <w:vAlign w:val="bottom"/>
            <w:tcBorders>
              <w:bottom w:val="single" w:sz="8" w:color="auto"/>
              <w:right w:val="single" w:sz="8" w:color="auto"/>
            </w:tcBorders>
          </w:tcPr>
          <w:p>
            <w:pPr>
              <w:jc w:val="center"/>
              <w:spacing w:after="0" w:line="310" w:lineRule="exact"/>
              <w:rPr>
                <w:sz w:val="20"/>
                <w:szCs w:val="20"/>
                <w:color w:val="auto"/>
              </w:rPr>
            </w:pPr>
            <w:r>
              <w:rPr>
                <w:rFonts w:ascii="Times New Roman" w:cs="Times New Roman" w:eastAsia="Times New Roman" w:hAnsi="Times New Roman"/>
                <w:sz w:val="28"/>
                <w:szCs w:val="28"/>
                <w:color w:val="auto"/>
                <w:w w:val="99"/>
              </w:rPr>
              <w:t>0</w:t>
            </w:r>
          </w:p>
        </w:tc>
        <w:tc>
          <w:tcPr>
            <w:tcW w:w="700" w:type="dxa"/>
            <w:vAlign w:val="bottom"/>
            <w:tcBorders>
              <w:bottom w:val="single" w:sz="8" w:color="auto"/>
              <w:right w:val="single" w:sz="8" w:color="auto"/>
            </w:tcBorders>
          </w:tcPr>
          <w:p>
            <w:pPr>
              <w:jc w:val="center"/>
              <w:spacing w:after="0" w:line="310" w:lineRule="exact"/>
              <w:rPr>
                <w:sz w:val="20"/>
                <w:szCs w:val="20"/>
                <w:color w:val="auto"/>
              </w:rPr>
            </w:pPr>
            <w:r>
              <w:rPr>
                <w:rFonts w:ascii="Times New Roman" w:cs="Times New Roman" w:eastAsia="Times New Roman" w:hAnsi="Times New Roman"/>
                <w:sz w:val="28"/>
                <w:szCs w:val="28"/>
                <w:color w:val="auto"/>
                <w:w w:val="99"/>
              </w:rPr>
              <w:t>0</w:t>
            </w:r>
          </w:p>
        </w:tc>
        <w:tc>
          <w:tcPr>
            <w:tcW w:w="0" w:type="dxa"/>
            <w:vAlign w:val="bottom"/>
          </w:tcPr>
          <w:p>
            <w:pPr>
              <w:spacing w:after="0"/>
              <w:rPr>
                <w:sz w:val="1"/>
                <w:szCs w:val="1"/>
                <w:color w:val="auto"/>
              </w:rPr>
            </w:pPr>
          </w:p>
        </w:tc>
      </w:tr>
      <w:tr>
        <w:trPr>
          <w:trHeight w:val="312"/>
        </w:trPr>
        <w:tc>
          <w:tcPr>
            <w:tcW w:w="5280" w:type="dxa"/>
            <w:vAlign w:val="bottom"/>
            <w:tcBorders>
              <w:left w:val="single" w:sz="8" w:color="auto"/>
              <w:bottom w:val="single" w:sz="8" w:color="auto"/>
              <w:right w:val="single" w:sz="8" w:color="auto"/>
            </w:tcBorders>
          </w:tcPr>
          <w:p>
            <w:pPr>
              <w:ind w:left="40"/>
              <w:spacing w:after="0" w:line="312" w:lineRule="exact"/>
              <w:rPr>
                <w:sz w:val="20"/>
                <w:szCs w:val="20"/>
                <w:color w:val="auto"/>
              </w:rPr>
            </w:pPr>
            <w:r>
              <w:rPr>
                <w:rFonts w:ascii="Times New Roman" w:cs="Times New Roman" w:eastAsia="Times New Roman" w:hAnsi="Times New Roman"/>
                <w:sz w:val="28"/>
                <w:szCs w:val="28"/>
                <w:color w:val="auto"/>
              </w:rPr>
              <w:t>Денежный поток</w:t>
            </w:r>
          </w:p>
        </w:tc>
        <w:tc>
          <w:tcPr>
            <w:tcW w:w="780" w:type="dxa"/>
            <w:vAlign w:val="bottom"/>
            <w:tcBorders>
              <w:bottom w:val="single" w:sz="8" w:color="auto"/>
              <w:right w:val="single" w:sz="8" w:color="auto"/>
            </w:tcBorders>
          </w:tcPr>
          <w:p>
            <w:pPr>
              <w:jc w:val="center"/>
              <w:spacing w:after="0" w:line="312" w:lineRule="exact"/>
              <w:rPr>
                <w:sz w:val="20"/>
                <w:szCs w:val="20"/>
                <w:color w:val="auto"/>
              </w:rPr>
            </w:pPr>
            <w:r>
              <w:rPr>
                <w:rFonts w:ascii="Times New Roman" w:cs="Times New Roman" w:eastAsia="Times New Roman" w:hAnsi="Times New Roman"/>
                <w:sz w:val="28"/>
                <w:szCs w:val="28"/>
                <w:color w:val="auto"/>
                <w:w w:val="99"/>
              </w:rPr>
              <w:t>152</w:t>
            </w:r>
          </w:p>
        </w:tc>
        <w:tc>
          <w:tcPr>
            <w:tcW w:w="740" w:type="dxa"/>
            <w:vAlign w:val="bottom"/>
            <w:tcBorders>
              <w:bottom w:val="single" w:sz="8" w:color="auto"/>
              <w:right w:val="single" w:sz="8" w:color="auto"/>
            </w:tcBorders>
          </w:tcPr>
          <w:p>
            <w:pPr>
              <w:jc w:val="center"/>
              <w:spacing w:after="0" w:line="312" w:lineRule="exact"/>
              <w:rPr>
                <w:sz w:val="20"/>
                <w:szCs w:val="20"/>
                <w:color w:val="auto"/>
              </w:rPr>
            </w:pPr>
            <w:r>
              <w:rPr>
                <w:rFonts w:ascii="Times New Roman" w:cs="Times New Roman" w:eastAsia="Times New Roman" w:hAnsi="Times New Roman"/>
                <w:sz w:val="28"/>
                <w:szCs w:val="28"/>
                <w:color w:val="auto"/>
                <w:w w:val="99"/>
              </w:rPr>
              <w:t>82</w:t>
            </w:r>
          </w:p>
        </w:tc>
        <w:tc>
          <w:tcPr>
            <w:tcW w:w="680" w:type="dxa"/>
            <w:vAlign w:val="bottom"/>
            <w:tcBorders>
              <w:bottom w:val="single" w:sz="8" w:color="auto"/>
              <w:right w:val="single" w:sz="8" w:color="auto"/>
            </w:tcBorders>
          </w:tcPr>
          <w:p>
            <w:pPr>
              <w:jc w:val="center"/>
              <w:spacing w:after="0" w:line="312" w:lineRule="exact"/>
              <w:rPr>
                <w:sz w:val="20"/>
                <w:szCs w:val="20"/>
                <w:color w:val="auto"/>
              </w:rPr>
            </w:pPr>
            <w:r>
              <w:rPr>
                <w:rFonts w:ascii="Times New Roman" w:cs="Times New Roman" w:eastAsia="Times New Roman" w:hAnsi="Times New Roman"/>
                <w:sz w:val="28"/>
                <w:szCs w:val="28"/>
                <w:color w:val="auto"/>
                <w:w w:val="99"/>
              </w:rPr>
              <w:t>628</w:t>
            </w:r>
          </w:p>
        </w:tc>
        <w:tc>
          <w:tcPr>
            <w:tcW w:w="620" w:type="dxa"/>
            <w:vAlign w:val="bottom"/>
            <w:tcBorders>
              <w:bottom w:val="single" w:sz="8" w:color="auto"/>
              <w:right w:val="single" w:sz="8" w:color="auto"/>
            </w:tcBorders>
          </w:tcPr>
          <w:p>
            <w:pPr>
              <w:jc w:val="center"/>
              <w:spacing w:after="0" w:line="312" w:lineRule="exact"/>
              <w:rPr>
                <w:sz w:val="20"/>
                <w:szCs w:val="20"/>
                <w:color w:val="auto"/>
              </w:rPr>
            </w:pPr>
            <w:r>
              <w:rPr>
                <w:rFonts w:ascii="Times New Roman" w:cs="Times New Roman" w:eastAsia="Times New Roman" w:hAnsi="Times New Roman"/>
                <w:sz w:val="28"/>
                <w:szCs w:val="28"/>
                <w:color w:val="auto"/>
                <w:w w:val="99"/>
              </w:rPr>
              <w:t>228</w:t>
            </w:r>
          </w:p>
        </w:tc>
        <w:tc>
          <w:tcPr>
            <w:tcW w:w="760" w:type="dxa"/>
            <w:vAlign w:val="bottom"/>
            <w:tcBorders>
              <w:bottom w:val="single" w:sz="8" w:color="auto"/>
              <w:right w:val="single" w:sz="8" w:color="auto"/>
            </w:tcBorders>
          </w:tcPr>
          <w:p>
            <w:pPr>
              <w:jc w:val="center"/>
              <w:spacing w:after="0" w:line="312" w:lineRule="exact"/>
              <w:rPr>
                <w:sz w:val="20"/>
                <w:szCs w:val="20"/>
                <w:color w:val="auto"/>
              </w:rPr>
            </w:pPr>
            <w:r>
              <w:rPr>
                <w:rFonts w:ascii="Times New Roman" w:cs="Times New Roman" w:eastAsia="Times New Roman" w:hAnsi="Times New Roman"/>
                <w:sz w:val="28"/>
                <w:szCs w:val="28"/>
                <w:color w:val="auto"/>
                <w:w w:val="99"/>
              </w:rPr>
              <w:t>228</w:t>
            </w:r>
          </w:p>
        </w:tc>
        <w:tc>
          <w:tcPr>
            <w:tcW w:w="700" w:type="dxa"/>
            <w:vAlign w:val="bottom"/>
            <w:tcBorders>
              <w:bottom w:val="single" w:sz="8" w:color="auto"/>
              <w:right w:val="single" w:sz="8" w:color="auto"/>
            </w:tcBorders>
          </w:tcPr>
          <w:p>
            <w:pPr>
              <w:jc w:val="center"/>
              <w:spacing w:after="0" w:line="312" w:lineRule="exact"/>
              <w:rPr>
                <w:sz w:val="20"/>
                <w:szCs w:val="20"/>
                <w:color w:val="auto"/>
              </w:rPr>
            </w:pPr>
            <w:r>
              <w:rPr>
                <w:rFonts w:ascii="Times New Roman" w:cs="Times New Roman" w:eastAsia="Times New Roman" w:hAnsi="Times New Roman"/>
                <w:sz w:val="28"/>
                <w:szCs w:val="28"/>
                <w:color w:val="auto"/>
                <w:w w:val="99"/>
              </w:rPr>
              <w:t>228</w:t>
            </w:r>
          </w:p>
        </w:tc>
        <w:tc>
          <w:tcPr>
            <w:tcW w:w="0" w:type="dxa"/>
            <w:vAlign w:val="bottom"/>
          </w:tcPr>
          <w:p>
            <w:pPr>
              <w:spacing w:after="0"/>
              <w:rPr>
                <w:sz w:val="1"/>
                <w:szCs w:val="1"/>
                <w:color w:val="auto"/>
              </w:rPr>
            </w:pPr>
          </w:p>
        </w:tc>
      </w:tr>
      <w:tr>
        <w:trPr>
          <w:trHeight w:val="311"/>
        </w:trPr>
        <w:tc>
          <w:tcPr>
            <w:tcW w:w="5280" w:type="dxa"/>
            <w:vAlign w:val="bottom"/>
            <w:tcBorders>
              <w:left w:val="single" w:sz="8" w:color="auto"/>
              <w:bottom w:val="single" w:sz="8" w:color="auto"/>
              <w:right w:val="single" w:sz="8" w:color="auto"/>
            </w:tcBorders>
          </w:tcPr>
          <w:p>
            <w:pPr>
              <w:ind w:left="40"/>
              <w:spacing w:after="0" w:line="310" w:lineRule="exact"/>
              <w:rPr>
                <w:sz w:val="20"/>
                <w:szCs w:val="20"/>
                <w:color w:val="auto"/>
              </w:rPr>
            </w:pPr>
            <w:r>
              <w:rPr>
                <w:rFonts w:ascii="Times New Roman" w:cs="Times New Roman" w:eastAsia="Times New Roman" w:hAnsi="Times New Roman"/>
                <w:sz w:val="28"/>
                <w:szCs w:val="28"/>
                <w:color w:val="auto"/>
              </w:rPr>
              <w:t>Коэффициент текущей стоимости</w:t>
            </w:r>
          </w:p>
        </w:tc>
        <w:tc>
          <w:tcPr>
            <w:tcW w:w="780" w:type="dxa"/>
            <w:vAlign w:val="bottom"/>
            <w:tcBorders>
              <w:bottom w:val="single" w:sz="8" w:color="auto"/>
              <w:right w:val="single" w:sz="8" w:color="auto"/>
            </w:tcBorders>
          </w:tcPr>
          <w:p>
            <w:pPr>
              <w:jc w:val="center"/>
              <w:spacing w:after="0" w:line="310" w:lineRule="exact"/>
              <w:rPr>
                <w:sz w:val="20"/>
                <w:szCs w:val="20"/>
                <w:color w:val="auto"/>
              </w:rPr>
            </w:pPr>
            <w:r>
              <w:rPr>
                <w:rFonts w:ascii="Times New Roman" w:cs="Times New Roman" w:eastAsia="Times New Roman" w:hAnsi="Times New Roman"/>
                <w:sz w:val="28"/>
                <w:szCs w:val="28"/>
                <w:color w:val="auto"/>
                <w:w w:val="97"/>
              </w:rPr>
              <w:t>0,87</w:t>
            </w:r>
          </w:p>
        </w:tc>
        <w:tc>
          <w:tcPr>
            <w:tcW w:w="740" w:type="dxa"/>
            <w:vAlign w:val="bottom"/>
            <w:tcBorders>
              <w:bottom w:val="single" w:sz="8" w:color="auto"/>
              <w:right w:val="single" w:sz="8" w:color="auto"/>
            </w:tcBorders>
          </w:tcPr>
          <w:p>
            <w:pPr>
              <w:jc w:val="center"/>
              <w:spacing w:after="0" w:line="310" w:lineRule="exact"/>
              <w:rPr>
                <w:sz w:val="20"/>
                <w:szCs w:val="20"/>
                <w:color w:val="auto"/>
              </w:rPr>
            </w:pPr>
            <w:r>
              <w:rPr>
                <w:rFonts w:ascii="Times New Roman" w:cs="Times New Roman" w:eastAsia="Times New Roman" w:hAnsi="Times New Roman"/>
                <w:sz w:val="28"/>
                <w:szCs w:val="28"/>
                <w:color w:val="auto"/>
                <w:w w:val="97"/>
              </w:rPr>
              <w:t>0,76</w:t>
            </w:r>
          </w:p>
        </w:tc>
        <w:tc>
          <w:tcPr>
            <w:tcW w:w="680" w:type="dxa"/>
            <w:vAlign w:val="bottom"/>
            <w:tcBorders>
              <w:bottom w:val="single" w:sz="8" w:color="auto"/>
              <w:right w:val="single" w:sz="8" w:color="auto"/>
            </w:tcBorders>
          </w:tcPr>
          <w:p>
            <w:pPr>
              <w:jc w:val="center"/>
              <w:spacing w:after="0" w:line="310" w:lineRule="exact"/>
              <w:rPr>
                <w:sz w:val="20"/>
                <w:szCs w:val="20"/>
                <w:color w:val="auto"/>
              </w:rPr>
            </w:pPr>
            <w:r>
              <w:rPr>
                <w:rFonts w:ascii="Times New Roman" w:cs="Times New Roman" w:eastAsia="Times New Roman" w:hAnsi="Times New Roman"/>
                <w:sz w:val="28"/>
                <w:szCs w:val="28"/>
                <w:color w:val="auto"/>
                <w:w w:val="97"/>
              </w:rPr>
              <w:t>0,66</w:t>
            </w:r>
          </w:p>
        </w:tc>
        <w:tc>
          <w:tcPr>
            <w:tcW w:w="620" w:type="dxa"/>
            <w:vAlign w:val="bottom"/>
            <w:tcBorders>
              <w:bottom w:val="single" w:sz="8" w:color="auto"/>
              <w:right w:val="single" w:sz="8" w:color="auto"/>
            </w:tcBorders>
          </w:tcPr>
          <w:p>
            <w:pPr>
              <w:jc w:val="center"/>
              <w:spacing w:after="0" w:line="310" w:lineRule="exact"/>
              <w:rPr>
                <w:sz w:val="20"/>
                <w:szCs w:val="20"/>
                <w:color w:val="auto"/>
              </w:rPr>
            </w:pPr>
            <w:r>
              <w:rPr>
                <w:rFonts w:ascii="Times New Roman" w:cs="Times New Roman" w:eastAsia="Times New Roman" w:hAnsi="Times New Roman"/>
                <w:sz w:val="28"/>
                <w:szCs w:val="28"/>
                <w:color w:val="auto"/>
                <w:w w:val="97"/>
              </w:rPr>
              <w:t>0,57</w:t>
            </w:r>
          </w:p>
        </w:tc>
        <w:tc>
          <w:tcPr>
            <w:tcW w:w="760" w:type="dxa"/>
            <w:vAlign w:val="bottom"/>
            <w:tcBorders>
              <w:bottom w:val="single" w:sz="8" w:color="auto"/>
              <w:right w:val="single" w:sz="8" w:color="auto"/>
            </w:tcBorders>
          </w:tcPr>
          <w:p>
            <w:pPr>
              <w:jc w:val="center"/>
              <w:spacing w:after="0" w:line="310" w:lineRule="exact"/>
              <w:rPr>
                <w:sz w:val="20"/>
                <w:szCs w:val="20"/>
                <w:color w:val="auto"/>
              </w:rPr>
            </w:pPr>
            <w:r>
              <w:rPr>
                <w:rFonts w:ascii="Times New Roman" w:cs="Times New Roman" w:eastAsia="Times New Roman" w:hAnsi="Times New Roman"/>
                <w:sz w:val="28"/>
                <w:szCs w:val="28"/>
                <w:color w:val="auto"/>
              </w:rPr>
              <w:t>0,50</w:t>
            </w:r>
          </w:p>
        </w:tc>
        <w:tc>
          <w:tcPr>
            <w:tcW w:w="700" w:type="dxa"/>
            <w:vAlign w:val="bottom"/>
            <w:tcBorders>
              <w:bottom w:val="single" w:sz="8" w:color="auto"/>
              <w:right w:val="single" w:sz="8" w:color="auto"/>
            </w:tcBorders>
          </w:tcPr>
          <w:p>
            <w:pPr>
              <w:jc w:val="center"/>
              <w:spacing w:after="0" w:line="310" w:lineRule="exact"/>
              <w:rPr>
                <w:sz w:val="20"/>
                <w:szCs w:val="20"/>
                <w:color w:val="auto"/>
              </w:rPr>
            </w:pPr>
            <w:r>
              <w:rPr>
                <w:rFonts w:ascii="Times New Roman" w:cs="Times New Roman" w:eastAsia="Times New Roman" w:hAnsi="Times New Roman"/>
                <w:sz w:val="28"/>
                <w:szCs w:val="28"/>
                <w:color w:val="auto"/>
              </w:rPr>
              <w:t>0,43</w:t>
            </w:r>
          </w:p>
        </w:tc>
        <w:tc>
          <w:tcPr>
            <w:tcW w:w="0" w:type="dxa"/>
            <w:vAlign w:val="bottom"/>
          </w:tcPr>
          <w:p>
            <w:pPr>
              <w:spacing w:after="0"/>
              <w:rPr>
                <w:sz w:val="1"/>
                <w:szCs w:val="1"/>
                <w:color w:val="auto"/>
              </w:rPr>
            </w:pPr>
          </w:p>
        </w:tc>
      </w:tr>
      <w:tr>
        <w:trPr>
          <w:trHeight w:val="312"/>
        </w:trPr>
        <w:tc>
          <w:tcPr>
            <w:tcW w:w="5280" w:type="dxa"/>
            <w:vAlign w:val="bottom"/>
            <w:tcBorders>
              <w:left w:val="single" w:sz="8" w:color="auto"/>
              <w:bottom w:val="single" w:sz="8" w:color="auto"/>
              <w:right w:val="single" w:sz="8" w:color="auto"/>
            </w:tcBorders>
          </w:tcPr>
          <w:p>
            <w:pPr>
              <w:ind w:left="40"/>
              <w:spacing w:after="0" w:line="312" w:lineRule="exact"/>
              <w:rPr>
                <w:sz w:val="20"/>
                <w:szCs w:val="20"/>
                <w:color w:val="auto"/>
              </w:rPr>
            </w:pPr>
            <w:r>
              <w:rPr>
                <w:rFonts w:ascii="Times New Roman" w:cs="Times New Roman" w:eastAsia="Times New Roman" w:hAnsi="Times New Roman"/>
                <w:sz w:val="28"/>
                <w:szCs w:val="28"/>
                <w:color w:val="auto"/>
              </w:rPr>
              <w:t>Текущая стоимость денежного потока</w:t>
            </w:r>
          </w:p>
        </w:tc>
        <w:tc>
          <w:tcPr>
            <w:tcW w:w="780" w:type="dxa"/>
            <w:vAlign w:val="bottom"/>
            <w:tcBorders>
              <w:bottom w:val="single" w:sz="8" w:color="auto"/>
              <w:right w:val="single" w:sz="8" w:color="auto"/>
            </w:tcBorders>
          </w:tcPr>
          <w:p>
            <w:pPr>
              <w:jc w:val="center"/>
              <w:spacing w:after="0" w:line="312" w:lineRule="exact"/>
              <w:rPr>
                <w:sz w:val="20"/>
                <w:szCs w:val="20"/>
                <w:color w:val="auto"/>
              </w:rPr>
            </w:pPr>
            <w:r>
              <w:rPr>
                <w:rFonts w:ascii="Times New Roman" w:cs="Times New Roman" w:eastAsia="Times New Roman" w:hAnsi="Times New Roman"/>
                <w:sz w:val="28"/>
                <w:szCs w:val="28"/>
                <w:color w:val="auto"/>
                <w:w w:val="99"/>
              </w:rPr>
              <w:t>132</w:t>
            </w:r>
          </w:p>
        </w:tc>
        <w:tc>
          <w:tcPr>
            <w:tcW w:w="740" w:type="dxa"/>
            <w:vAlign w:val="bottom"/>
            <w:tcBorders>
              <w:bottom w:val="single" w:sz="8" w:color="auto"/>
              <w:right w:val="single" w:sz="8" w:color="auto"/>
            </w:tcBorders>
          </w:tcPr>
          <w:p>
            <w:pPr>
              <w:jc w:val="center"/>
              <w:spacing w:after="0" w:line="312" w:lineRule="exact"/>
              <w:rPr>
                <w:sz w:val="20"/>
                <w:szCs w:val="20"/>
                <w:color w:val="auto"/>
              </w:rPr>
            </w:pPr>
            <w:r>
              <w:rPr>
                <w:rFonts w:ascii="Times New Roman" w:cs="Times New Roman" w:eastAsia="Times New Roman" w:hAnsi="Times New Roman"/>
                <w:sz w:val="28"/>
                <w:szCs w:val="28"/>
                <w:color w:val="auto"/>
                <w:w w:val="99"/>
              </w:rPr>
              <w:t>62</w:t>
            </w:r>
          </w:p>
        </w:tc>
        <w:tc>
          <w:tcPr>
            <w:tcW w:w="680" w:type="dxa"/>
            <w:vAlign w:val="bottom"/>
            <w:tcBorders>
              <w:bottom w:val="single" w:sz="8" w:color="auto"/>
              <w:right w:val="single" w:sz="8" w:color="auto"/>
            </w:tcBorders>
          </w:tcPr>
          <w:p>
            <w:pPr>
              <w:jc w:val="center"/>
              <w:spacing w:after="0" w:line="312" w:lineRule="exact"/>
              <w:rPr>
                <w:sz w:val="20"/>
                <w:szCs w:val="20"/>
                <w:color w:val="auto"/>
              </w:rPr>
            </w:pPr>
            <w:r>
              <w:rPr>
                <w:rFonts w:ascii="Times New Roman" w:cs="Times New Roman" w:eastAsia="Times New Roman" w:hAnsi="Times New Roman"/>
                <w:sz w:val="28"/>
                <w:szCs w:val="28"/>
                <w:color w:val="auto"/>
                <w:w w:val="99"/>
              </w:rPr>
              <w:t>413</w:t>
            </w:r>
          </w:p>
        </w:tc>
        <w:tc>
          <w:tcPr>
            <w:tcW w:w="620" w:type="dxa"/>
            <w:vAlign w:val="bottom"/>
            <w:tcBorders>
              <w:bottom w:val="single" w:sz="8" w:color="auto"/>
              <w:right w:val="single" w:sz="8" w:color="auto"/>
            </w:tcBorders>
          </w:tcPr>
          <w:p>
            <w:pPr>
              <w:jc w:val="center"/>
              <w:spacing w:after="0" w:line="312" w:lineRule="exact"/>
              <w:rPr>
                <w:sz w:val="20"/>
                <w:szCs w:val="20"/>
                <w:color w:val="auto"/>
              </w:rPr>
            </w:pPr>
            <w:r>
              <w:rPr>
                <w:rFonts w:ascii="Times New Roman" w:cs="Times New Roman" w:eastAsia="Times New Roman" w:hAnsi="Times New Roman"/>
                <w:sz w:val="28"/>
                <w:szCs w:val="28"/>
                <w:color w:val="auto"/>
                <w:w w:val="99"/>
              </w:rPr>
              <w:t>130</w:t>
            </w:r>
          </w:p>
        </w:tc>
        <w:tc>
          <w:tcPr>
            <w:tcW w:w="760" w:type="dxa"/>
            <w:vAlign w:val="bottom"/>
            <w:tcBorders>
              <w:bottom w:val="single" w:sz="8" w:color="auto"/>
              <w:right w:val="single" w:sz="8" w:color="auto"/>
            </w:tcBorders>
          </w:tcPr>
          <w:p>
            <w:pPr>
              <w:jc w:val="center"/>
              <w:spacing w:after="0" w:line="312" w:lineRule="exact"/>
              <w:rPr>
                <w:sz w:val="20"/>
                <w:szCs w:val="20"/>
                <w:color w:val="auto"/>
              </w:rPr>
            </w:pPr>
            <w:r>
              <w:rPr>
                <w:rFonts w:ascii="Times New Roman" w:cs="Times New Roman" w:eastAsia="Times New Roman" w:hAnsi="Times New Roman"/>
                <w:sz w:val="28"/>
                <w:szCs w:val="28"/>
                <w:color w:val="auto"/>
                <w:w w:val="99"/>
              </w:rPr>
              <w:t>113</w:t>
            </w:r>
          </w:p>
        </w:tc>
        <w:tc>
          <w:tcPr>
            <w:tcW w:w="700" w:type="dxa"/>
            <w:vAlign w:val="bottom"/>
            <w:tcBorders>
              <w:bottom w:val="single" w:sz="8" w:color="auto"/>
              <w:right w:val="single" w:sz="8" w:color="auto"/>
            </w:tcBorders>
          </w:tcPr>
          <w:p>
            <w:pPr>
              <w:jc w:val="center"/>
              <w:spacing w:after="0" w:line="312" w:lineRule="exact"/>
              <w:rPr>
                <w:sz w:val="20"/>
                <w:szCs w:val="20"/>
                <w:color w:val="auto"/>
              </w:rPr>
            </w:pPr>
            <w:r>
              <w:rPr>
                <w:rFonts w:ascii="Times New Roman" w:cs="Times New Roman" w:eastAsia="Times New Roman" w:hAnsi="Times New Roman"/>
                <w:sz w:val="28"/>
                <w:szCs w:val="28"/>
                <w:color w:val="auto"/>
                <w:w w:val="99"/>
              </w:rPr>
              <w:t>99</w:t>
            </w:r>
          </w:p>
        </w:tc>
        <w:tc>
          <w:tcPr>
            <w:tcW w:w="0" w:type="dxa"/>
            <w:vAlign w:val="bottom"/>
          </w:tcPr>
          <w:p>
            <w:pPr>
              <w:spacing w:after="0"/>
              <w:rPr>
                <w:sz w:val="1"/>
                <w:szCs w:val="1"/>
                <w:color w:val="auto"/>
              </w:rPr>
            </w:pPr>
          </w:p>
        </w:tc>
      </w:tr>
      <w:tr>
        <w:trPr>
          <w:trHeight w:val="291"/>
        </w:trPr>
        <w:tc>
          <w:tcPr>
            <w:tcW w:w="5280" w:type="dxa"/>
            <w:vAlign w:val="bottom"/>
            <w:tcBorders>
              <w:left w:val="single" w:sz="8" w:color="auto"/>
              <w:right w:val="single" w:sz="8" w:color="auto"/>
            </w:tcBorders>
          </w:tcPr>
          <w:p>
            <w:pPr>
              <w:ind w:left="40"/>
              <w:spacing w:after="0" w:line="290" w:lineRule="exact"/>
              <w:rPr>
                <w:sz w:val="20"/>
                <w:szCs w:val="20"/>
                <w:color w:val="auto"/>
              </w:rPr>
            </w:pPr>
            <w:r>
              <w:rPr>
                <w:rFonts w:ascii="Times New Roman" w:cs="Times New Roman" w:eastAsia="Times New Roman" w:hAnsi="Times New Roman"/>
                <w:sz w:val="28"/>
                <w:szCs w:val="28"/>
                <w:color w:val="auto"/>
              </w:rPr>
              <w:t>Накопленная текущая стоимость денежног</w:t>
            </w:r>
          </w:p>
        </w:tc>
        <w:tc>
          <w:tcPr>
            <w:tcW w:w="780" w:type="dxa"/>
            <w:vAlign w:val="bottom"/>
            <w:tcBorders>
              <w:right w:val="single" w:sz="8" w:color="auto"/>
            </w:tcBorders>
          </w:tcPr>
          <w:p>
            <w:pPr>
              <w:jc w:val="center"/>
              <w:spacing w:after="0" w:line="290" w:lineRule="exact"/>
              <w:rPr>
                <w:sz w:val="20"/>
                <w:szCs w:val="20"/>
                <w:color w:val="auto"/>
              </w:rPr>
            </w:pPr>
            <w:r>
              <w:rPr>
                <w:rFonts w:ascii="Times New Roman" w:cs="Times New Roman" w:eastAsia="Times New Roman" w:hAnsi="Times New Roman"/>
                <w:sz w:val="28"/>
                <w:szCs w:val="28"/>
                <w:color w:val="auto"/>
                <w:w w:val="99"/>
              </w:rPr>
              <w:t>132</w:t>
            </w:r>
          </w:p>
        </w:tc>
        <w:tc>
          <w:tcPr>
            <w:tcW w:w="740" w:type="dxa"/>
            <w:vAlign w:val="bottom"/>
            <w:tcBorders>
              <w:right w:val="single" w:sz="8" w:color="auto"/>
            </w:tcBorders>
          </w:tcPr>
          <w:p>
            <w:pPr>
              <w:jc w:val="center"/>
              <w:spacing w:after="0" w:line="290" w:lineRule="exact"/>
              <w:rPr>
                <w:sz w:val="20"/>
                <w:szCs w:val="20"/>
                <w:color w:val="auto"/>
              </w:rPr>
            </w:pPr>
            <w:r>
              <w:rPr>
                <w:rFonts w:ascii="Times New Roman" w:cs="Times New Roman" w:eastAsia="Times New Roman" w:hAnsi="Times New Roman"/>
                <w:sz w:val="28"/>
                <w:szCs w:val="28"/>
                <w:color w:val="auto"/>
                <w:w w:val="99"/>
              </w:rPr>
              <w:t>194</w:t>
            </w:r>
          </w:p>
        </w:tc>
        <w:tc>
          <w:tcPr>
            <w:tcW w:w="680" w:type="dxa"/>
            <w:vAlign w:val="bottom"/>
            <w:tcBorders>
              <w:right w:val="single" w:sz="8" w:color="auto"/>
            </w:tcBorders>
          </w:tcPr>
          <w:p>
            <w:pPr>
              <w:jc w:val="center"/>
              <w:spacing w:after="0" w:line="290" w:lineRule="exact"/>
              <w:rPr>
                <w:sz w:val="20"/>
                <w:szCs w:val="20"/>
                <w:color w:val="auto"/>
              </w:rPr>
            </w:pPr>
            <w:r>
              <w:rPr>
                <w:rFonts w:ascii="Times New Roman" w:cs="Times New Roman" w:eastAsia="Times New Roman" w:hAnsi="Times New Roman"/>
                <w:sz w:val="28"/>
                <w:szCs w:val="28"/>
                <w:color w:val="auto"/>
                <w:w w:val="99"/>
              </w:rPr>
              <w:t>607</w:t>
            </w:r>
          </w:p>
        </w:tc>
        <w:tc>
          <w:tcPr>
            <w:tcW w:w="620" w:type="dxa"/>
            <w:vAlign w:val="bottom"/>
            <w:tcBorders>
              <w:right w:val="single" w:sz="8" w:color="auto"/>
            </w:tcBorders>
          </w:tcPr>
          <w:p>
            <w:pPr>
              <w:jc w:val="center"/>
              <w:spacing w:after="0" w:line="290" w:lineRule="exact"/>
              <w:rPr>
                <w:sz w:val="20"/>
                <w:szCs w:val="20"/>
                <w:color w:val="auto"/>
              </w:rPr>
            </w:pPr>
            <w:r>
              <w:rPr>
                <w:rFonts w:ascii="Times New Roman" w:cs="Times New Roman" w:eastAsia="Times New Roman" w:hAnsi="Times New Roman"/>
                <w:sz w:val="28"/>
                <w:szCs w:val="28"/>
                <w:color w:val="auto"/>
                <w:w w:val="99"/>
              </w:rPr>
              <w:t>738</w:t>
            </w:r>
          </w:p>
        </w:tc>
        <w:tc>
          <w:tcPr>
            <w:tcW w:w="760" w:type="dxa"/>
            <w:vAlign w:val="bottom"/>
            <w:tcBorders>
              <w:right w:val="single" w:sz="8" w:color="auto"/>
            </w:tcBorders>
          </w:tcPr>
          <w:p>
            <w:pPr>
              <w:jc w:val="center"/>
              <w:spacing w:after="0" w:line="290" w:lineRule="exact"/>
              <w:rPr>
                <w:sz w:val="20"/>
                <w:szCs w:val="20"/>
                <w:color w:val="auto"/>
              </w:rPr>
            </w:pPr>
            <w:r>
              <w:rPr>
                <w:rFonts w:ascii="Times New Roman" w:cs="Times New Roman" w:eastAsia="Times New Roman" w:hAnsi="Times New Roman"/>
                <w:sz w:val="28"/>
                <w:szCs w:val="28"/>
                <w:color w:val="auto"/>
                <w:w w:val="99"/>
              </w:rPr>
              <w:t>851</w:t>
            </w:r>
          </w:p>
        </w:tc>
        <w:tc>
          <w:tcPr>
            <w:tcW w:w="700" w:type="dxa"/>
            <w:vAlign w:val="bottom"/>
            <w:tcBorders>
              <w:right w:val="single" w:sz="8" w:color="auto"/>
            </w:tcBorders>
          </w:tcPr>
          <w:p>
            <w:pPr>
              <w:jc w:val="center"/>
              <w:spacing w:after="0" w:line="290" w:lineRule="exact"/>
              <w:rPr>
                <w:sz w:val="20"/>
                <w:szCs w:val="20"/>
                <w:color w:val="auto"/>
              </w:rPr>
            </w:pPr>
            <w:r>
              <w:rPr>
                <w:rFonts w:ascii="Times New Roman" w:cs="Times New Roman" w:eastAsia="Times New Roman" w:hAnsi="Times New Roman"/>
                <w:sz w:val="28"/>
                <w:szCs w:val="28"/>
                <w:color w:val="auto"/>
                <w:w w:val="99"/>
              </w:rPr>
              <w:t>950</w:t>
            </w:r>
          </w:p>
        </w:tc>
        <w:tc>
          <w:tcPr>
            <w:tcW w:w="0" w:type="dxa"/>
            <w:vAlign w:val="bottom"/>
          </w:tcPr>
          <w:p>
            <w:pPr>
              <w:spacing w:after="0"/>
              <w:rPr>
                <w:sz w:val="1"/>
                <w:szCs w:val="1"/>
                <w:color w:val="auto"/>
              </w:rPr>
            </w:pPr>
          </w:p>
        </w:tc>
      </w:tr>
      <w:tr>
        <w:trPr>
          <w:trHeight w:val="343"/>
        </w:trPr>
        <w:tc>
          <w:tcPr>
            <w:tcW w:w="5280" w:type="dxa"/>
            <w:vAlign w:val="bottom"/>
            <w:tcBorders>
              <w:left w:val="single" w:sz="8" w:color="auto"/>
              <w:bottom w:val="single" w:sz="8" w:color="auto"/>
              <w:right w:val="single" w:sz="8" w:color="auto"/>
            </w:tcBorders>
          </w:tcPr>
          <w:p>
            <w:pPr>
              <w:ind w:left="40"/>
              <w:spacing w:after="0"/>
              <w:rPr>
                <w:sz w:val="20"/>
                <w:szCs w:val="20"/>
                <w:color w:val="auto"/>
              </w:rPr>
            </w:pPr>
            <w:r>
              <w:rPr>
                <w:rFonts w:ascii="Times New Roman" w:cs="Times New Roman" w:eastAsia="Times New Roman" w:hAnsi="Times New Roman"/>
                <w:sz w:val="28"/>
                <w:szCs w:val="28"/>
                <w:color w:val="auto"/>
              </w:rPr>
              <w:t>потока</w:t>
            </w:r>
          </w:p>
        </w:tc>
        <w:tc>
          <w:tcPr>
            <w:tcW w:w="780" w:type="dxa"/>
            <w:vAlign w:val="bottom"/>
            <w:tcBorders>
              <w:bottom w:val="single" w:sz="8" w:color="auto"/>
              <w:right w:val="single" w:sz="8" w:color="auto"/>
            </w:tcBorders>
          </w:tcPr>
          <w:p>
            <w:pPr>
              <w:spacing w:after="0"/>
              <w:rPr>
                <w:sz w:val="24"/>
                <w:szCs w:val="24"/>
                <w:color w:val="auto"/>
              </w:rPr>
            </w:pPr>
          </w:p>
        </w:tc>
        <w:tc>
          <w:tcPr>
            <w:tcW w:w="740" w:type="dxa"/>
            <w:vAlign w:val="bottom"/>
            <w:tcBorders>
              <w:bottom w:val="single" w:sz="8" w:color="auto"/>
              <w:right w:val="single" w:sz="8" w:color="auto"/>
            </w:tcBorders>
          </w:tcPr>
          <w:p>
            <w:pPr>
              <w:spacing w:after="0"/>
              <w:rPr>
                <w:sz w:val="24"/>
                <w:szCs w:val="24"/>
                <w:color w:val="auto"/>
              </w:rPr>
            </w:pPr>
          </w:p>
        </w:tc>
        <w:tc>
          <w:tcPr>
            <w:tcW w:w="680" w:type="dxa"/>
            <w:vAlign w:val="bottom"/>
            <w:tcBorders>
              <w:bottom w:val="single" w:sz="8" w:color="auto"/>
              <w:right w:val="single" w:sz="8" w:color="auto"/>
            </w:tcBorders>
          </w:tcPr>
          <w:p>
            <w:pPr>
              <w:spacing w:after="0"/>
              <w:rPr>
                <w:sz w:val="24"/>
                <w:szCs w:val="24"/>
                <w:color w:val="auto"/>
              </w:rPr>
            </w:pPr>
          </w:p>
        </w:tc>
        <w:tc>
          <w:tcPr>
            <w:tcW w:w="620" w:type="dxa"/>
            <w:vAlign w:val="bottom"/>
            <w:tcBorders>
              <w:bottom w:val="single" w:sz="8" w:color="auto"/>
              <w:right w:val="single" w:sz="8" w:color="auto"/>
            </w:tcBorders>
          </w:tcPr>
          <w:p>
            <w:pPr>
              <w:spacing w:after="0"/>
              <w:rPr>
                <w:sz w:val="24"/>
                <w:szCs w:val="24"/>
                <w:color w:val="auto"/>
              </w:rPr>
            </w:pPr>
          </w:p>
        </w:tc>
        <w:tc>
          <w:tcPr>
            <w:tcW w:w="760" w:type="dxa"/>
            <w:vAlign w:val="bottom"/>
            <w:tcBorders>
              <w:bottom w:val="single" w:sz="8" w:color="auto"/>
              <w:right w:val="single" w:sz="8" w:color="auto"/>
            </w:tcBorders>
          </w:tcPr>
          <w:p>
            <w:pPr>
              <w:spacing w:after="0"/>
              <w:rPr>
                <w:sz w:val="24"/>
                <w:szCs w:val="24"/>
                <w:color w:val="auto"/>
              </w:rPr>
            </w:pPr>
          </w:p>
        </w:tc>
        <w:tc>
          <w:tcPr>
            <w:tcW w:w="70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91"/>
        </w:trPr>
        <w:tc>
          <w:tcPr>
            <w:tcW w:w="5280" w:type="dxa"/>
            <w:vAlign w:val="bottom"/>
            <w:tcBorders>
              <w:left w:val="single" w:sz="8" w:color="auto"/>
              <w:right w:val="single" w:sz="8" w:color="auto"/>
            </w:tcBorders>
          </w:tcPr>
          <w:p>
            <w:pPr>
              <w:ind w:left="40"/>
              <w:spacing w:after="0" w:line="290" w:lineRule="exact"/>
              <w:rPr>
                <w:sz w:val="20"/>
                <w:szCs w:val="20"/>
                <w:color w:val="auto"/>
              </w:rPr>
            </w:pPr>
            <w:r>
              <w:rPr>
                <w:rFonts w:ascii="Times New Roman" w:cs="Times New Roman" w:eastAsia="Times New Roman" w:hAnsi="Times New Roman"/>
                <w:sz w:val="28"/>
                <w:szCs w:val="28"/>
                <w:color w:val="auto"/>
              </w:rPr>
              <w:t>Остаточная стоимость (капитализация</w:t>
            </w:r>
          </w:p>
        </w:tc>
        <w:tc>
          <w:tcPr>
            <w:tcW w:w="780" w:type="dxa"/>
            <w:vAlign w:val="bottom"/>
            <w:tcBorders>
              <w:right w:val="single" w:sz="8" w:color="auto"/>
            </w:tcBorders>
          </w:tcPr>
          <w:p>
            <w:pPr>
              <w:jc w:val="center"/>
              <w:spacing w:after="0" w:line="290" w:lineRule="exact"/>
              <w:rPr>
                <w:sz w:val="20"/>
                <w:szCs w:val="20"/>
                <w:color w:val="auto"/>
              </w:rPr>
            </w:pPr>
            <w:r>
              <w:rPr>
                <w:rFonts w:ascii="Times New Roman" w:cs="Times New Roman" w:eastAsia="Times New Roman" w:hAnsi="Times New Roman"/>
                <w:sz w:val="28"/>
                <w:szCs w:val="28"/>
                <w:color w:val="auto"/>
                <w:w w:val="99"/>
              </w:rPr>
              <w:t>1013</w:t>
            </w:r>
          </w:p>
        </w:tc>
        <w:tc>
          <w:tcPr>
            <w:tcW w:w="740" w:type="dxa"/>
            <w:vAlign w:val="bottom"/>
            <w:tcBorders>
              <w:right w:val="single" w:sz="8" w:color="auto"/>
            </w:tcBorders>
          </w:tcPr>
          <w:p>
            <w:pPr>
              <w:jc w:val="center"/>
              <w:spacing w:after="0" w:line="290" w:lineRule="exact"/>
              <w:rPr>
                <w:sz w:val="20"/>
                <w:szCs w:val="20"/>
                <w:color w:val="auto"/>
              </w:rPr>
            </w:pPr>
            <w:r>
              <w:rPr>
                <w:rFonts w:ascii="Times New Roman" w:cs="Times New Roman" w:eastAsia="Times New Roman" w:hAnsi="Times New Roman"/>
                <w:sz w:val="28"/>
                <w:szCs w:val="28"/>
                <w:color w:val="auto"/>
                <w:w w:val="99"/>
              </w:rPr>
              <w:t>1216</w:t>
            </w:r>
          </w:p>
        </w:tc>
        <w:tc>
          <w:tcPr>
            <w:tcW w:w="680" w:type="dxa"/>
            <w:vAlign w:val="bottom"/>
            <w:tcBorders>
              <w:right w:val="single" w:sz="8" w:color="auto"/>
            </w:tcBorders>
          </w:tcPr>
          <w:p>
            <w:pPr>
              <w:jc w:val="center"/>
              <w:spacing w:after="0" w:line="290" w:lineRule="exact"/>
              <w:rPr>
                <w:sz w:val="20"/>
                <w:szCs w:val="20"/>
                <w:color w:val="auto"/>
              </w:rPr>
            </w:pPr>
            <w:r>
              <w:rPr>
                <w:rFonts w:ascii="Times New Roman" w:cs="Times New Roman" w:eastAsia="Times New Roman" w:hAnsi="Times New Roman"/>
                <w:sz w:val="28"/>
                <w:szCs w:val="28"/>
                <w:color w:val="auto"/>
                <w:w w:val="99"/>
              </w:rPr>
              <w:t>1520</w:t>
            </w:r>
          </w:p>
        </w:tc>
        <w:tc>
          <w:tcPr>
            <w:tcW w:w="620" w:type="dxa"/>
            <w:vAlign w:val="bottom"/>
            <w:tcBorders>
              <w:right w:val="single" w:sz="8" w:color="auto"/>
            </w:tcBorders>
          </w:tcPr>
          <w:p>
            <w:pPr>
              <w:jc w:val="center"/>
              <w:spacing w:after="0" w:line="290" w:lineRule="exact"/>
              <w:rPr>
                <w:sz w:val="20"/>
                <w:szCs w:val="20"/>
                <w:color w:val="auto"/>
              </w:rPr>
            </w:pPr>
            <w:r>
              <w:rPr>
                <w:rFonts w:ascii="Times New Roman" w:cs="Times New Roman" w:eastAsia="Times New Roman" w:hAnsi="Times New Roman"/>
                <w:sz w:val="28"/>
                <w:szCs w:val="28"/>
                <w:color w:val="auto"/>
                <w:w w:val="99"/>
              </w:rPr>
              <w:t>1520</w:t>
            </w:r>
          </w:p>
        </w:tc>
        <w:tc>
          <w:tcPr>
            <w:tcW w:w="760" w:type="dxa"/>
            <w:vAlign w:val="bottom"/>
            <w:tcBorders>
              <w:right w:val="single" w:sz="8" w:color="auto"/>
            </w:tcBorders>
          </w:tcPr>
          <w:p>
            <w:pPr>
              <w:jc w:val="center"/>
              <w:spacing w:after="0" w:line="290" w:lineRule="exact"/>
              <w:rPr>
                <w:sz w:val="20"/>
                <w:szCs w:val="20"/>
                <w:color w:val="auto"/>
              </w:rPr>
            </w:pPr>
            <w:r>
              <w:rPr>
                <w:rFonts w:ascii="Times New Roman" w:cs="Times New Roman" w:eastAsia="Times New Roman" w:hAnsi="Times New Roman"/>
                <w:sz w:val="28"/>
                <w:szCs w:val="28"/>
                <w:color w:val="auto"/>
                <w:w w:val="99"/>
              </w:rPr>
              <w:t>1520</w:t>
            </w:r>
          </w:p>
        </w:tc>
        <w:tc>
          <w:tcPr>
            <w:tcW w:w="700" w:type="dxa"/>
            <w:vAlign w:val="bottom"/>
            <w:tcBorders>
              <w:right w:val="single" w:sz="8" w:color="auto"/>
            </w:tcBorders>
          </w:tcPr>
          <w:p>
            <w:pPr>
              <w:jc w:val="center"/>
              <w:spacing w:after="0" w:line="290" w:lineRule="exact"/>
              <w:rPr>
                <w:sz w:val="20"/>
                <w:szCs w:val="20"/>
                <w:color w:val="auto"/>
              </w:rPr>
            </w:pPr>
            <w:r>
              <w:rPr>
                <w:rFonts w:ascii="Times New Roman" w:cs="Times New Roman" w:eastAsia="Times New Roman" w:hAnsi="Times New Roman"/>
                <w:sz w:val="28"/>
                <w:szCs w:val="28"/>
                <w:color w:val="auto"/>
                <w:w w:val="99"/>
              </w:rPr>
              <w:t>1520</w:t>
            </w:r>
          </w:p>
        </w:tc>
        <w:tc>
          <w:tcPr>
            <w:tcW w:w="0" w:type="dxa"/>
            <w:vAlign w:val="bottom"/>
          </w:tcPr>
          <w:p>
            <w:pPr>
              <w:spacing w:after="0"/>
              <w:rPr>
                <w:sz w:val="1"/>
                <w:szCs w:val="1"/>
                <w:color w:val="auto"/>
              </w:rPr>
            </w:pPr>
          </w:p>
        </w:tc>
      </w:tr>
      <w:tr>
        <w:trPr>
          <w:trHeight w:val="343"/>
        </w:trPr>
        <w:tc>
          <w:tcPr>
            <w:tcW w:w="5280" w:type="dxa"/>
            <w:vAlign w:val="bottom"/>
            <w:tcBorders>
              <w:left w:val="single" w:sz="8" w:color="auto"/>
              <w:bottom w:val="single" w:sz="8" w:color="auto"/>
              <w:right w:val="single" w:sz="8" w:color="auto"/>
            </w:tcBorders>
          </w:tcPr>
          <w:p>
            <w:pPr>
              <w:ind w:left="40"/>
              <w:spacing w:after="0"/>
              <w:rPr>
                <w:sz w:val="20"/>
                <w:szCs w:val="20"/>
                <w:color w:val="auto"/>
              </w:rPr>
            </w:pPr>
            <w:r>
              <w:rPr>
                <w:rFonts w:ascii="Times New Roman" w:cs="Times New Roman" w:eastAsia="Times New Roman" w:hAnsi="Times New Roman"/>
                <w:sz w:val="28"/>
                <w:szCs w:val="28"/>
                <w:color w:val="auto"/>
              </w:rPr>
              <w:t>изменения NOPAT)</w:t>
            </w:r>
          </w:p>
        </w:tc>
        <w:tc>
          <w:tcPr>
            <w:tcW w:w="780" w:type="dxa"/>
            <w:vAlign w:val="bottom"/>
            <w:tcBorders>
              <w:bottom w:val="single" w:sz="8" w:color="auto"/>
              <w:right w:val="single" w:sz="8" w:color="auto"/>
            </w:tcBorders>
          </w:tcPr>
          <w:p>
            <w:pPr>
              <w:spacing w:after="0"/>
              <w:rPr>
                <w:sz w:val="24"/>
                <w:szCs w:val="24"/>
                <w:color w:val="auto"/>
              </w:rPr>
            </w:pPr>
          </w:p>
        </w:tc>
        <w:tc>
          <w:tcPr>
            <w:tcW w:w="740" w:type="dxa"/>
            <w:vAlign w:val="bottom"/>
            <w:tcBorders>
              <w:bottom w:val="single" w:sz="8" w:color="auto"/>
              <w:right w:val="single" w:sz="8" w:color="auto"/>
            </w:tcBorders>
          </w:tcPr>
          <w:p>
            <w:pPr>
              <w:spacing w:after="0"/>
              <w:rPr>
                <w:sz w:val="24"/>
                <w:szCs w:val="24"/>
                <w:color w:val="auto"/>
              </w:rPr>
            </w:pPr>
          </w:p>
        </w:tc>
        <w:tc>
          <w:tcPr>
            <w:tcW w:w="680" w:type="dxa"/>
            <w:vAlign w:val="bottom"/>
            <w:tcBorders>
              <w:bottom w:val="single" w:sz="8" w:color="auto"/>
              <w:right w:val="single" w:sz="8" w:color="auto"/>
            </w:tcBorders>
          </w:tcPr>
          <w:p>
            <w:pPr>
              <w:spacing w:after="0"/>
              <w:rPr>
                <w:sz w:val="24"/>
                <w:szCs w:val="24"/>
                <w:color w:val="auto"/>
              </w:rPr>
            </w:pPr>
          </w:p>
        </w:tc>
        <w:tc>
          <w:tcPr>
            <w:tcW w:w="620" w:type="dxa"/>
            <w:vAlign w:val="bottom"/>
            <w:tcBorders>
              <w:bottom w:val="single" w:sz="8" w:color="auto"/>
              <w:right w:val="single" w:sz="8" w:color="auto"/>
            </w:tcBorders>
          </w:tcPr>
          <w:p>
            <w:pPr>
              <w:spacing w:after="0"/>
              <w:rPr>
                <w:sz w:val="24"/>
                <w:szCs w:val="24"/>
                <w:color w:val="auto"/>
              </w:rPr>
            </w:pPr>
          </w:p>
        </w:tc>
        <w:tc>
          <w:tcPr>
            <w:tcW w:w="760" w:type="dxa"/>
            <w:vAlign w:val="bottom"/>
            <w:tcBorders>
              <w:bottom w:val="single" w:sz="8" w:color="auto"/>
              <w:right w:val="single" w:sz="8" w:color="auto"/>
            </w:tcBorders>
          </w:tcPr>
          <w:p>
            <w:pPr>
              <w:spacing w:after="0"/>
              <w:rPr>
                <w:sz w:val="24"/>
                <w:szCs w:val="24"/>
                <w:color w:val="auto"/>
              </w:rPr>
            </w:pPr>
          </w:p>
        </w:tc>
        <w:tc>
          <w:tcPr>
            <w:tcW w:w="70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12"/>
        </w:trPr>
        <w:tc>
          <w:tcPr>
            <w:tcW w:w="5280" w:type="dxa"/>
            <w:vAlign w:val="bottom"/>
            <w:tcBorders>
              <w:left w:val="single" w:sz="8" w:color="auto"/>
              <w:bottom w:val="single" w:sz="8" w:color="auto"/>
              <w:right w:val="single" w:sz="8" w:color="auto"/>
            </w:tcBorders>
          </w:tcPr>
          <w:p>
            <w:pPr>
              <w:ind w:left="40"/>
              <w:spacing w:after="0" w:line="312" w:lineRule="exact"/>
              <w:rPr>
                <w:sz w:val="20"/>
                <w:szCs w:val="20"/>
                <w:color w:val="auto"/>
              </w:rPr>
            </w:pPr>
            <w:r>
              <w:rPr>
                <w:rFonts w:ascii="Times New Roman" w:cs="Times New Roman" w:eastAsia="Times New Roman" w:hAnsi="Times New Roman"/>
                <w:sz w:val="28"/>
                <w:szCs w:val="28"/>
                <w:color w:val="auto"/>
              </w:rPr>
              <w:t>Текущая стоимость остаточной стоимости</w:t>
            </w:r>
          </w:p>
        </w:tc>
        <w:tc>
          <w:tcPr>
            <w:tcW w:w="780" w:type="dxa"/>
            <w:vAlign w:val="bottom"/>
            <w:tcBorders>
              <w:bottom w:val="single" w:sz="8" w:color="auto"/>
              <w:right w:val="single" w:sz="8" w:color="auto"/>
            </w:tcBorders>
          </w:tcPr>
          <w:p>
            <w:pPr>
              <w:jc w:val="center"/>
              <w:spacing w:after="0" w:line="312" w:lineRule="exact"/>
              <w:rPr>
                <w:sz w:val="20"/>
                <w:szCs w:val="20"/>
                <w:color w:val="auto"/>
              </w:rPr>
            </w:pPr>
            <w:r>
              <w:rPr>
                <w:rFonts w:ascii="Times New Roman" w:cs="Times New Roman" w:eastAsia="Times New Roman" w:hAnsi="Times New Roman"/>
                <w:sz w:val="28"/>
                <w:szCs w:val="28"/>
                <w:color w:val="auto"/>
                <w:w w:val="99"/>
              </w:rPr>
              <w:t>881</w:t>
            </w:r>
          </w:p>
        </w:tc>
        <w:tc>
          <w:tcPr>
            <w:tcW w:w="740" w:type="dxa"/>
            <w:vAlign w:val="bottom"/>
            <w:tcBorders>
              <w:bottom w:val="single" w:sz="8" w:color="auto"/>
              <w:right w:val="single" w:sz="8" w:color="auto"/>
            </w:tcBorders>
          </w:tcPr>
          <w:p>
            <w:pPr>
              <w:jc w:val="center"/>
              <w:spacing w:after="0" w:line="312" w:lineRule="exact"/>
              <w:rPr>
                <w:sz w:val="20"/>
                <w:szCs w:val="20"/>
                <w:color w:val="auto"/>
              </w:rPr>
            </w:pPr>
            <w:r>
              <w:rPr>
                <w:rFonts w:ascii="Times New Roman" w:cs="Times New Roman" w:eastAsia="Times New Roman" w:hAnsi="Times New Roman"/>
                <w:sz w:val="28"/>
                <w:szCs w:val="28"/>
                <w:color w:val="auto"/>
                <w:w w:val="99"/>
              </w:rPr>
              <w:t>919</w:t>
            </w:r>
          </w:p>
        </w:tc>
        <w:tc>
          <w:tcPr>
            <w:tcW w:w="680" w:type="dxa"/>
            <w:vAlign w:val="bottom"/>
            <w:tcBorders>
              <w:bottom w:val="single" w:sz="8" w:color="auto"/>
              <w:right w:val="single" w:sz="8" w:color="auto"/>
            </w:tcBorders>
          </w:tcPr>
          <w:p>
            <w:pPr>
              <w:jc w:val="center"/>
              <w:spacing w:after="0" w:line="312" w:lineRule="exact"/>
              <w:rPr>
                <w:sz w:val="20"/>
                <w:szCs w:val="20"/>
                <w:color w:val="auto"/>
              </w:rPr>
            </w:pPr>
            <w:r>
              <w:rPr>
                <w:rFonts w:ascii="Times New Roman" w:cs="Times New Roman" w:eastAsia="Times New Roman" w:hAnsi="Times New Roman"/>
                <w:sz w:val="28"/>
                <w:szCs w:val="28"/>
                <w:color w:val="auto"/>
                <w:w w:val="99"/>
              </w:rPr>
              <w:t>999</w:t>
            </w:r>
          </w:p>
        </w:tc>
        <w:tc>
          <w:tcPr>
            <w:tcW w:w="620" w:type="dxa"/>
            <w:vAlign w:val="bottom"/>
            <w:tcBorders>
              <w:bottom w:val="single" w:sz="8" w:color="auto"/>
              <w:right w:val="single" w:sz="8" w:color="auto"/>
            </w:tcBorders>
          </w:tcPr>
          <w:p>
            <w:pPr>
              <w:jc w:val="center"/>
              <w:spacing w:after="0" w:line="312" w:lineRule="exact"/>
              <w:rPr>
                <w:sz w:val="20"/>
                <w:szCs w:val="20"/>
                <w:color w:val="auto"/>
              </w:rPr>
            </w:pPr>
            <w:r>
              <w:rPr>
                <w:rFonts w:ascii="Times New Roman" w:cs="Times New Roman" w:eastAsia="Times New Roman" w:hAnsi="Times New Roman"/>
                <w:sz w:val="28"/>
                <w:szCs w:val="28"/>
                <w:color w:val="auto"/>
                <w:w w:val="99"/>
              </w:rPr>
              <w:t>869</w:t>
            </w:r>
          </w:p>
        </w:tc>
        <w:tc>
          <w:tcPr>
            <w:tcW w:w="760" w:type="dxa"/>
            <w:vAlign w:val="bottom"/>
            <w:tcBorders>
              <w:bottom w:val="single" w:sz="8" w:color="auto"/>
              <w:right w:val="single" w:sz="8" w:color="auto"/>
            </w:tcBorders>
          </w:tcPr>
          <w:p>
            <w:pPr>
              <w:jc w:val="center"/>
              <w:spacing w:after="0" w:line="312" w:lineRule="exact"/>
              <w:rPr>
                <w:sz w:val="20"/>
                <w:szCs w:val="20"/>
                <w:color w:val="auto"/>
              </w:rPr>
            </w:pPr>
            <w:r>
              <w:rPr>
                <w:rFonts w:ascii="Times New Roman" w:cs="Times New Roman" w:eastAsia="Times New Roman" w:hAnsi="Times New Roman"/>
                <w:sz w:val="28"/>
                <w:szCs w:val="28"/>
                <w:color w:val="auto"/>
                <w:w w:val="99"/>
              </w:rPr>
              <w:t>756</w:t>
            </w:r>
          </w:p>
        </w:tc>
        <w:tc>
          <w:tcPr>
            <w:tcW w:w="700" w:type="dxa"/>
            <w:vAlign w:val="bottom"/>
            <w:tcBorders>
              <w:bottom w:val="single" w:sz="8" w:color="auto"/>
              <w:right w:val="single" w:sz="8" w:color="auto"/>
            </w:tcBorders>
          </w:tcPr>
          <w:p>
            <w:pPr>
              <w:jc w:val="center"/>
              <w:spacing w:after="0" w:line="312" w:lineRule="exact"/>
              <w:rPr>
                <w:sz w:val="20"/>
                <w:szCs w:val="20"/>
                <w:color w:val="auto"/>
              </w:rPr>
            </w:pPr>
            <w:r>
              <w:rPr>
                <w:rFonts w:ascii="Times New Roman" w:cs="Times New Roman" w:eastAsia="Times New Roman" w:hAnsi="Times New Roman"/>
                <w:sz w:val="28"/>
                <w:szCs w:val="28"/>
                <w:color w:val="auto"/>
                <w:w w:val="99"/>
              </w:rPr>
              <w:t>657</w:t>
            </w:r>
          </w:p>
        </w:tc>
        <w:tc>
          <w:tcPr>
            <w:tcW w:w="0" w:type="dxa"/>
            <w:vAlign w:val="bottom"/>
          </w:tcPr>
          <w:p>
            <w:pPr>
              <w:spacing w:after="0"/>
              <w:rPr>
                <w:sz w:val="1"/>
                <w:szCs w:val="1"/>
                <w:color w:val="auto"/>
              </w:rPr>
            </w:pPr>
          </w:p>
        </w:tc>
      </w:tr>
      <w:tr>
        <w:trPr>
          <w:trHeight w:val="320"/>
        </w:trPr>
        <w:tc>
          <w:tcPr>
            <w:tcW w:w="5280" w:type="dxa"/>
            <w:vAlign w:val="bottom"/>
            <w:tcBorders>
              <w:left w:val="single" w:sz="8" w:color="auto"/>
              <w:bottom w:val="single" w:sz="8" w:color="auto"/>
              <w:right w:val="single" w:sz="8" w:color="auto"/>
            </w:tcBorders>
          </w:tcPr>
          <w:p>
            <w:pPr>
              <w:ind w:left="40"/>
              <w:spacing w:after="0" w:line="320" w:lineRule="exact"/>
              <w:rPr>
                <w:sz w:val="20"/>
                <w:szCs w:val="20"/>
                <w:color w:val="auto"/>
              </w:rPr>
            </w:pPr>
            <w:r>
              <w:rPr>
                <w:rFonts w:ascii="Times New Roman" w:cs="Times New Roman" w:eastAsia="Times New Roman" w:hAnsi="Times New Roman"/>
                <w:sz w:val="28"/>
                <w:szCs w:val="28"/>
                <w:color w:val="auto"/>
              </w:rPr>
              <w:t>Стоимость инвестированного капитала</w:t>
            </w:r>
          </w:p>
        </w:tc>
        <w:tc>
          <w:tcPr>
            <w:tcW w:w="780" w:type="dxa"/>
            <w:vAlign w:val="bottom"/>
            <w:tcBorders>
              <w:bottom w:val="single" w:sz="8" w:color="auto"/>
              <w:right w:val="single" w:sz="8" w:color="auto"/>
            </w:tcBorders>
          </w:tcPr>
          <w:p>
            <w:pPr>
              <w:jc w:val="center"/>
              <w:spacing w:after="0" w:line="320" w:lineRule="exact"/>
              <w:rPr>
                <w:sz w:val="20"/>
                <w:szCs w:val="20"/>
                <w:color w:val="auto"/>
              </w:rPr>
            </w:pPr>
            <w:r>
              <w:rPr>
                <w:rFonts w:ascii="Times New Roman" w:cs="Times New Roman" w:eastAsia="Times New Roman" w:hAnsi="Times New Roman"/>
                <w:sz w:val="28"/>
                <w:szCs w:val="28"/>
                <w:color w:val="auto"/>
                <w:w w:val="99"/>
              </w:rPr>
              <w:t>1013</w:t>
            </w:r>
          </w:p>
        </w:tc>
        <w:tc>
          <w:tcPr>
            <w:tcW w:w="740" w:type="dxa"/>
            <w:vAlign w:val="bottom"/>
            <w:tcBorders>
              <w:bottom w:val="single" w:sz="8" w:color="auto"/>
              <w:right w:val="single" w:sz="8" w:color="auto"/>
            </w:tcBorders>
          </w:tcPr>
          <w:p>
            <w:pPr>
              <w:jc w:val="center"/>
              <w:spacing w:after="0" w:line="320" w:lineRule="exact"/>
              <w:rPr>
                <w:sz w:val="20"/>
                <w:szCs w:val="20"/>
                <w:color w:val="auto"/>
              </w:rPr>
            </w:pPr>
            <w:r>
              <w:rPr>
                <w:rFonts w:ascii="Times New Roman" w:cs="Times New Roman" w:eastAsia="Times New Roman" w:hAnsi="Times New Roman"/>
                <w:sz w:val="28"/>
                <w:szCs w:val="28"/>
                <w:color w:val="auto"/>
                <w:w w:val="99"/>
              </w:rPr>
              <w:t>1114</w:t>
            </w:r>
          </w:p>
        </w:tc>
        <w:tc>
          <w:tcPr>
            <w:tcW w:w="680" w:type="dxa"/>
            <w:vAlign w:val="bottom"/>
            <w:tcBorders>
              <w:bottom w:val="single" w:sz="8" w:color="auto"/>
              <w:right w:val="single" w:sz="8" w:color="auto"/>
            </w:tcBorders>
          </w:tcPr>
          <w:p>
            <w:pPr>
              <w:jc w:val="center"/>
              <w:spacing w:after="0" w:line="320" w:lineRule="exact"/>
              <w:rPr>
                <w:sz w:val="20"/>
                <w:szCs w:val="20"/>
                <w:color w:val="auto"/>
              </w:rPr>
            </w:pPr>
            <w:r>
              <w:rPr>
                <w:rFonts w:ascii="Times New Roman" w:cs="Times New Roman" w:eastAsia="Times New Roman" w:hAnsi="Times New Roman"/>
                <w:sz w:val="28"/>
                <w:szCs w:val="28"/>
                <w:color w:val="auto"/>
                <w:w w:val="99"/>
              </w:rPr>
              <w:t>1607</w:t>
            </w:r>
          </w:p>
        </w:tc>
        <w:tc>
          <w:tcPr>
            <w:tcW w:w="620" w:type="dxa"/>
            <w:vAlign w:val="bottom"/>
            <w:tcBorders>
              <w:bottom w:val="single" w:sz="8" w:color="auto"/>
              <w:right w:val="single" w:sz="8" w:color="auto"/>
            </w:tcBorders>
          </w:tcPr>
          <w:p>
            <w:pPr>
              <w:jc w:val="center"/>
              <w:spacing w:after="0" w:line="320" w:lineRule="exact"/>
              <w:rPr>
                <w:sz w:val="20"/>
                <w:szCs w:val="20"/>
                <w:color w:val="auto"/>
              </w:rPr>
            </w:pPr>
            <w:r>
              <w:rPr>
                <w:rFonts w:ascii="Times New Roman" w:cs="Times New Roman" w:eastAsia="Times New Roman" w:hAnsi="Times New Roman"/>
                <w:sz w:val="28"/>
                <w:szCs w:val="28"/>
                <w:color w:val="auto"/>
                <w:w w:val="99"/>
              </w:rPr>
              <w:t>1607</w:t>
            </w:r>
          </w:p>
        </w:tc>
        <w:tc>
          <w:tcPr>
            <w:tcW w:w="760" w:type="dxa"/>
            <w:vAlign w:val="bottom"/>
            <w:tcBorders>
              <w:bottom w:val="single" w:sz="8" w:color="auto"/>
              <w:right w:val="single" w:sz="8" w:color="auto"/>
            </w:tcBorders>
          </w:tcPr>
          <w:p>
            <w:pPr>
              <w:jc w:val="center"/>
              <w:spacing w:after="0" w:line="320" w:lineRule="exact"/>
              <w:rPr>
                <w:sz w:val="20"/>
                <w:szCs w:val="20"/>
                <w:color w:val="auto"/>
              </w:rPr>
            </w:pPr>
            <w:r>
              <w:rPr>
                <w:rFonts w:ascii="Times New Roman" w:cs="Times New Roman" w:eastAsia="Times New Roman" w:hAnsi="Times New Roman"/>
                <w:sz w:val="28"/>
                <w:szCs w:val="28"/>
                <w:color w:val="auto"/>
                <w:w w:val="99"/>
              </w:rPr>
              <w:t>1607</w:t>
            </w:r>
          </w:p>
        </w:tc>
        <w:tc>
          <w:tcPr>
            <w:tcW w:w="700" w:type="dxa"/>
            <w:vAlign w:val="bottom"/>
            <w:tcBorders>
              <w:bottom w:val="single" w:sz="8" w:color="auto"/>
              <w:right w:val="single" w:sz="8" w:color="auto"/>
            </w:tcBorders>
          </w:tcPr>
          <w:p>
            <w:pPr>
              <w:jc w:val="center"/>
              <w:spacing w:after="0" w:line="320" w:lineRule="exact"/>
              <w:rPr>
                <w:sz w:val="20"/>
                <w:szCs w:val="20"/>
                <w:color w:val="auto"/>
              </w:rPr>
            </w:pPr>
            <w:r>
              <w:rPr>
                <w:rFonts w:ascii="Times New Roman" w:cs="Times New Roman" w:eastAsia="Times New Roman" w:hAnsi="Times New Roman"/>
                <w:sz w:val="28"/>
                <w:szCs w:val="28"/>
                <w:color w:val="auto"/>
                <w:w w:val="99"/>
              </w:rPr>
              <w:t>1607</w:t>
            </w:r>
          </w:p>
        </w:tc>
        <w:tc>
          <w:tcPr>
            <w:tcW w:w="0" w:type="dxa"/>
            <w:vAlign w:val="bottom"/>
          </w:tcPr>
          <w:p>
            <w:pPr>
              <w:spacing w:after="0"/>
              <w:rPr>
                <w:sz w:val="1"/>
                <w:szCs w:val="1"/>
                <w:color w:val="auto"/>
              </w:rPr>
            </w:pPr>
          </w:p>
        </w:tc>
      </w:tr>
      <w:tr>
        <w:trPr>
          <w:trHeight w:val="335"/>
        </w:trPr>
        <w:tc>
          <w:tcPr>
            <w:tcW w:w="5280" w:type="dxa"/>
            <w:vAlign w:val="bottom"/>
            <w:tcBorders>
              <w:left w:val="single" w:sz="8" w:color="auto"/>
              <w:bottom w:val="single" w:sz="8" w:color="auto"/>
              <w:right w:val="single" w:sz="8" w:color="auto"/>
            </w:tcBorders>
          </w:tcPr>
          <w:p>
            <w:pPr>
              <w:ind w:left="40"/>
              <w:spacing w:after="0"/>
              <w:rPr>
                <w:sz w:val="20"/>
                <w:szCs w:val="20"/>
                <w:color w:val="auto"/>
              </w:rPr>
            </w:pPr>
            <w:r>
              <w:rPr>
                <w:rFonts w:ascii="Times New Roman" w:cs="Times New Roman" w:eastAsia="Times New Roman" w:hAnsi="Times New Roman"/>
                <w:sz w:val="28"/>
                <w:szCs w:val="28"/>
                <w:color w:val="auto"/>
              </w:rPr>
              <w:t>Акционерная добавленная стоимость</w:t>
            </w:r>
          </w:p>
        </w:tc>
        <w:tc>
          <w:tcPr>
            <w:tcW w:w="78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8"/>
                <w:szCs w:val="28"/>
                <w:color w:val="auto"/>
                <w:w w:val="99"/>
              </w:rPr>
              <w:t>0</w:t>
            </w:r>
          </w:p>
        </w:tc>
        <w:tc>
          <w:tcPr>
            <w:tcW w:w="74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8"/>
                <w:szCs w:val="28"/>
                <w:color w:val="auto"/>
                <w:w w:val="99"/>
              </w:rPr>
              <w:t>101</w:t>
            </w:r>
          </w:p>
        </w:tc>
        <w:tc>
          <w:tcPr>
            <w:tcW w:w="68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8"/>
                <w:szCs w:val="28"/>
                <w:color w:val="auto"/>
                <w:w w:val="99"/>
              </w:rPr>
              <w:t>493</w:t>
            </w:r>
          </w:p>
        </w:tc>
        <w:tc>
          <w:tcPr>
            <w:tcW w:w="62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8"/>
                <w:szCs w:val="28"/>
                <w:color w:val="auto"/>
                <w:w w:val="99"/>
              </w:rPr>
              <w:t>0</w:t>
            </w:r>
          </w:p>
        </w:tc>
        <w:tc>
          <w:tcPr>
            <w:tcW w:w="76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8"/>
                <w:szCs w:val="28"/>
                <w:color w:val="auto"/>
                <w:w w:val="99"/>
              </w:rPr>
              <w:t>0</w:t>
            </w:r>
          </w:p>
        </w:tc>
        <w:tc>
          <w:tcPr>
            <w:tcW w:w="70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8"/>
                <w:szCs w:val="28"/>
                <w:color w:val="auto"/>
                <w:w w:val="99"/>
              </w:rPr>
              <w:t>0</w:t>
            </w:r>
          </w:p>
        </w:tc>
        <w:tc>
          <w:tcPr>
            <w:tcW w:w="0" w:type="dxa"/>
            <w:vAlign w:val="bottom"/>
          </w:tcPr>
          <w:p>
            <w:pPr>
              <w:spacing w:after="0"/>
              <w:rPr>
                <w:sz w:val="1"/>
                <w:szCs w:val="1"/>
                <w:color w:val="auto"/>
              </w:rPr>
            </w:pPr>
          </w:p>
        </w:tc>
      </w:tr>
      <w:tr>
        <w:trPr>
          <w:trHeight w:val="312"/>
        </w:trPr>
        <w:tc>
          <w:tcPr>
            <w:tcW w:w="5280" w:type="dxa"/>
            <w:vAlign w:val="bottom"/>
            <w:tcBorders>
              <w:left w:val="single" w:sz="8" w:color="auto"/>
              <w:bottom w:val="single" w:sz="8" w:color="auto"/>
              <w:right w:val="single" w:sz="8" w:color="auto"/>
            </w:tcBorders>
          </w:tcPr>
          <w:p>
            <w:pPr>
              <w:ind w:left="40"/>
              <w:spacing w:after="0" w:line="312" w:lineRule="exact"/>
              <w:rPr>
                <w:sz w:val="20"/>
                <w:szCs w:val="20"/>
                <w:color w:val="auto"/>
              </w:rPr>
            </w:pPr>
            <w:r>
              <w:rPr>
                <w:rFonts w:ascii="Times New Roman" w:cs="Times New Roman" w:eastAsia="Times New Roman" w:hAnsi="Times New Roman"/>
                <w:sz w:val="28"/>
                <w:szCs w:val="28"/>
                <w:color w:val="auto"/>
              </w:rPr>
              <w:t>Стоимость компании</w:t>
            </w:r>
          </w:p>
        </w:tc>
        <w:tc>
          <w:tcPr>
            <w:tcW w:w="780" w:type="dxa"/>
            <w:vAlign w:val="bottom"/>
            <w:tcBorders>
              <w:bottom w:val="single" w:sz="8" w:color="auto"/>
              <w:right w:val="single" w:sz="8" w:color="auto"/>
            </w:tcBorders>
          </w:tcPr>
          <w:p>
            <w:pPr>
              <w:spacing w:after="0"/>
              <w:rPr>
                <w:sz w:val="24"/>
                <w:szCs w:val="24"/>
                <w:color w:val="auto"/>
              </w:rPr>
            </w:pPr>
          </w:p>
        </w:tc>
        <w:tc>
          <w:tcPr>
            <w:tcW w:w="740" w:type="dxa"/>
            <w:vAlign w:val="bottom"/>
            <w:tcBorders>
              <w:bottom w:val="single" w:sz="8" w:color="auto"/>
              <w:right w:val="single" w:sz="8" w:color="auto"/>
            </w:tcBorders>
          </w:tcPr>
          <w:p>
            <w:pPr>
              <w:spacing w:after="0"/>
              <w:rPr>
                <w:sz w:val="24"/>
                <w:szCs w:val="24"/>
                <w:color w:val="auto"/>
              </w:rPr>
            </w:pPr>
          </w:p>
        </w:tc>
        <w:tc>
          <w:tcPr>
            <w:tcW w:w="680" w:type="dxa"/>
            <w:vAlign w:val="bottom"/>
            <w:tcBorders>
              <w:bottom w:val="single" w:sz="8" w:color="auto"/>
              <w:right w:val="single" w:sz="8" w:color="auto"/>
            </w:tcBorders>
          </w:tcPr>
          <w:p>
            <w:pPr>
              <w:spacing w:after="0"/>
              <w:rPr>
                <w:sz w:val="24"/>
                <w:szCs w:val="24"/>
                <w:color w:val="auto"/>
              </w:rPr>
            </w:pPr>
          </w:p>
        </w:tc>
        <w:tc>
          <w:tcPr>
            <w:tcW w:w="620" w:type="dxa"/>
            <w:vAlign w:val="bottom"/>
            <w:tcBorders>
              <w:bottom w:val="single" w:sz="8" w:color="auto"/>
              <w:right w:val="single" w:sz="8" w:color="auto"/>
            </w:tcBorders>
          </w:tcPr>
          <w:p>
            <w:pPr>
              <w:jc w:val="center"/>
              <w:spacing w:after="0" w:line="312" w:lineRule="exact"/>
              <w:rPr>
                <w:sz w:val="20"/>
                <w:szCs w:val="20"/>
                <w:color w:val="auto"/>
              </w:rPr>
            </w:pPr>
            <w:r>
              <w:rPr>
                <w:rFonts w:ascii="Times New Roman" w:cs="Times New Roman" w:eastAsia="Times New Roman" w:hAnsi="Times New Roman"/>
                <w:sz w:val="28"/>
                <w:szCs w:val="28"/>
                <w:color w:val="auto"/>
                <w:w w:val="99"/>
              </w:rPr>
              <w:t>1607</w:t>
            </w:r>
          </w:p>
        </w:tc>
        <w:tc>
          <w:tcPr>
            <w:tcW w:w="760" w:type="dxa"/>
            <w:vAlign w:val="bottom"/>
            <w:tcBorders>
              <w:bottom w:val="single" w:sz="8" w:color="auto"/>
              <w:right w:val="single" w:sz="8" w:color="auto"/>
            </w:tcBorders>
          </w:tcPr>
          <w:p>
            <w:pPr>
              <w:spacing w:after="0"/>
              <w:rPr>
                <w:sz w:val="24"/>
                <w:szCs w:val="24"/>
                <w:color w:val="auto"/>
              </w:rPr>
            </w:pPr>
          </w:p>
        </w:tc>
        <w:tc>
          <w:tcPr>
            <w:tcW w:w="70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pacing w:after="0" w:line="300" w:lineRule="exact"/>
        <w:rPr>
          <w:sz w:val="20"/>
          <w:szCs w:val="20"/>
          <w:color w:val="auto"/>
        </w:rPr>
      </w:pPr>
    </w:p>
    <w:p>
      <w:pPr>
        <w:jc w:val="both"/>
        <w:ind w:left="260" w:right="140" w:firstLine="720"/>
        <w:spacing w:after="0" w:line="239" w:lineRule="auto"/>
        <w:rPr>
          <w:sz w:val="20"/>
          <w:szCs w:val="20"/>
          <w:color w:val="auto"/>
        </w:rPr>
      </w:pPr>
      <w:r>
        <w:rPr>
          <w:rFonts w:ascii="Times New Roman" w:cs="Times New Roman" w:eastAsia="Times New Roman" w:hAnsi="Times New Roman"/>
          <w:sz w:val="28"/>
          <w:szCs w:val="28"/>
          <w:color w:val="auto"/>
        </w:rPr>
        <w:t>Результаты расчетов свидетельствуют о том, что акционерная добавленная стоимость, созданная в прогнозном периоде, составляет 594 долл., при этом наибольшее значение показателя SVA будет в третьем прогнозном году.</w:t>
      </w:r>
    </w:p>
    <w:p>
      <w:pPr>
        <w:spacing w:after="0" w:line="5" w:lineRule="exact"/>
        <w:rPr>
          <w:sz w:val="20"/>
          <w:szCs w:val="20"/>
          <w:color w:val="auto"/>
        </w:rPr>
      </w:pPr>
    </w:p>
    <w:p>
      <w:pPr>
        <w:jc w:val="both"/>
        <w:ind w:left="260" w:right="140" w:firstLine="720"/>
        <w:spacing w:after="0" w:line="250" w:lineRule="auto"/>
        <w:rPr>
          <w:sz w:val="20"/>
          <w:szCs w:val="20"/>
          <w:color w:val="auto"/>
        </w:rPr>
      </w:pPr>
      <w:r>
        <w:rPr>
          <w:rFonts w:ascii="Times New Roman" w:cs="Times New Roman" w:eastAsia="Times New Roman" w:hAnsi="Times New Roman"/>
          <w:sz w:val="28"/>
          <w:szCs w:val="28"/>
          <w:color w:val="auto"/>
        </w:rPr>
        <w:t>Таким образом, и первый, и второй способы расчета приводят к получению одинаковой величины стоимости. Вместе с тем второй способ является более наглядным и понятным, в связи с чем ему отдается предпочтение при проведении расчетов в оценочной деятельности.</w:t>
      </w:r>
    </w:p>
    <w:p>
      <w:pPr>
        <w:sectPr>
          <w:pgSz w:w="11900" w:h="16840" w:orient="portrait"/>
          <w:cols w:equalWidth="0" w:num="1">
            <w:col w:w="9760"/>
          </w:cols>
          <w:pgMar w:left="1440" w:top="1112" w:right="704" w:bottom="16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1" w:lineRule="exact"/>
        <w:rPr>
          <w:sz w:val="20"/>
          <w:szCs w:val="20"/>
          <w:color w:val="auto"/>
        </w:rPr>
      </w:pPr>
    </w:p>
    <w:p>
      <w:pPr>
        <w:ind w:left="9380"/>
        <w:spacing w:after="0"/>
        <w:rPr>
          <w:sz w:val="20"/>
          <w:szCs w:val="20"/>
          <w:color w:val="auto"/>
        </w:rPr>
      </w:pPr>
      <w:r>
        <w:rPr>
          <w:rFonts w:ascii="Times New Roman" w:cs="Times New Roman" w:eastAsia="Times New Roman" w:hAnsi="Times New Roman"/>
          <w:sz w:val="24"/>
          <w:szCs w:val="24"/>
          <w:color w:val="auto"/>
        </w:rPr>
        <w:t>51</w:t>
      </w:r>
    </w:p>
    <w:p>
      <w:pPr>
        <w:sectPr>
          <w:pgSz w:w="11900" w:h="16840" w:orient="portrait"/>
          <w:cols w:equalWidth="0" w:num="1">
            <w:col w:w="9760"/>
          </w:cols>
          <w:pgMar w:left="1440" w:top="1112" w:right="704" w:bottom="163" w:gutter="0" w:footer="0" w:header="0"/>
          <w:type w:val="continuous"/>
        </w:sectPr>
      </w:pPr>
    </w:p>
    <w:p>
      <w:pPr>
        <w:ind w:left="8200"/>
        <w:spacing w:after="0"/>
        <w:rPr>
          <w:sz w:val="20"/>
          <w:szCs w:val="20"/>
          <w:color w:val="auto"/>
        </w:rPr>
      </w:pPr>
      <w:r>
        <w:rPr>
          <w:rFonts w:ascii="Times New Roman" w:cs="Times New Roman" w:eastAsia="Times New Roman" w:hAnsi="Times New Roman"/>
          <w:sz w:val="27"/>
          <w:szCs w:val="27"/>
          <w:color w:val="auto"/>
        </w:rPr>
        <w:t>Таблица 6.3</w:t>
      </w:r>
    </w:p>
    <w:p>
      <w:pPr>
        <w:spacing w:after="0" w:line="11" w:lineRule="exact"/>
        <w:rPr>
          <w:sz w:val="20"/>
          <w:szCs w:val="20"/>
          <w:color w:val="auto"/>
        </w:rPr>
      </w:pPr>
    </w:p>
    <w:p>
      <w:pPr>
        <w:ind w:left="600"/>
        <w:spacing w:after="0"/>
        <w:rPr>
          <w:sz w:val="20"/>
          <w:szCs w:val="20"/>
          <w:color w:val="auto"/>
        </w:rPr>
      </w:pPr>
      <w:r>
        <w:rPr>
          <w:rFonts w:ascii="Times New Roman" w:cs="Times New Roman" w:eastAsia="Times New Roman" w:hAnsi="Times New Roman"/>
          <w:sz w:val="28"/>
          <w:szCs w:val="28"/>
          <w:color w:val="auto"/>
        </w:rPr>
        <w:t>Данные для оценки стоимости компании с помощью показателя SVA по</w:t>
      </w:r>
    </w:p>
    <w:p>
      <w:pPr>
        <w:spacing w:after="0" w:line="1" w:lineRule="exact"/>
        <w:rPr>
          <w:sz w:val="20"/>
          <w:szCs w:val="20"/>
          <w:color w:val="auto"/>
        </w:rPr>
      </w:pPr>
    </w:p>
    <w:p>
      <w:pPr>
        <w:ind w:left="3540"/>
        <w:spacing w:after="0"/>
        <w:rPr>
          <w:sz w:val="20"/>
          <w:szCs w:val="20"/>
          <w:color w:val="auto"/>
        </w:rPr>
      </w:pPr>
      <w:r>
        <w:rPr>
          <w:rFonts w:ascii="Times New Roman" w:cs="Times New Roman" w:eastAsia="Times New Roman" w:hAnsi="Times New Roman"/>
          <w:sz w:val="28"/>
          <w:szCs w:val="28"/>
          <w:color w:val="auto"/>
        </w:rPr>
        <w:t>второму способу, долл.</w:t>
      </w:r>
    </w:p>
    <w:tbl>
      <w:tblPr>
        <w:tblLayout w:type="fixed"/>
        <w:tblInd w:w="270" w:type="dxa"/>
        <w:tblCellMar>
          <w:top w:w="0" w:type="dxa"/>
          <w:left w:w="0" w:type="dxa"/>
          <w:bottom w:w="0" w:type="dxa"/>
          <w:right w:w="0" w:type="dxa"/>
        </w:tblCellMar>
      </w:tblPr>
      <w:tr>
        <w:trPr>
          <w:trHeight w:val="334"/>
        </w:trPr>
        <w:tc>
          <w:tcPr>
            <w:tcW w:w="4880" w:type="dxa"/>
            <w:vAlign w:val="bottom"/>
            <w:tcBorders>
              <w:top w:val="single" w:sz="8" w:color="auto"/>
              <w:left w:val="single" w:sz="8" w:color="auto"/>
              <w:bottom w:val="single" w:sz="8" w:color="auto"/>
              <w:right w:val="single" w:sz="8" w:color="auto"/>
            </w:tcBorders>
            <w:vMerge w:val="restart"/>
          </w:tcPr>
          <w:p>
            <w:pPr>
              <w:ind w:left="1900"/>
              <w:spacing w:after="0"/>
              <w:rPr>
                <w:sz w:val="20"/>
                <w:szCs w:val="20"/>
                <w:color w:val="auto"/>
              </w:rPr>
            </w:pPr>
            <w:r>
              <w:rPr>
                <w:rFonts w:ascii="Times New Roman" w:cs="Times New Roman" w:eastAsia="Times New Roman" w:hAnsi="Times New Roman"/>
                <w:sz w:val="28"/>
                <w:szCs w:val="28"/>
                <w:color w:val="auto"/>
              </w:rPr>
              <w:t>Показатель</w:t>
            </w:r>
          </w:p>
        </w:tc>
        <w:tc>
          <w:tcPr>
            <w:tcW w:w="760" w:type="dxa"/>
            <w:vAlign w:val="bottom"/>
            <w:tcBorders>
              <w:top w:val="single" w:sz="8" w:color="auto"/>
              <w:bottom w:val="single" w:sz="8" w:color="auto"/>
            </w:tcBorders>
          </w:tcPr>
          <w:p>
            <w:pPr>
              <w:spacing w:after="0"/>
              <w:rPr>
                <w:sz w:val="24"/>
                <w:szCs w:val="24"/>
                <w:color w:val="auto"/>
              </w:rPr>
            </w:pPr>
          </w:p>
        </w:tc>
        <w:tc>
          <w:tcPr>
            <w:tcW w:w="700" w:type="dxa"/>
            <w:vAlign w:val="bottom"/>
            <w:tcBorders>
              <w:top w:val="single" w:sz="8" w:color="auto"/>
              <w:bottom w:val="single" w:sz="8" w:color="auto"/>
            </w:tcBorders>
          </w:tcPr>
          <w:p>
            <w:pPr>
              <w:spacing w:after="0"/>
              <w:rPr>
                <w:sz w:val="24"/>
                <w:szCs w:val="24"/>
                <w:color w:val="auto"/>
              </w:rPr>
            </w:pPr>
          </w:p>
        </w:tc>
        <w:tc>
          <w:tcPr>
            <w:tcW w:w="1420" w:type="dxa"/>
            <w:vAlign w:val="bottom"/>
            <w:tcBorders>
              <w:top w:val="single" w:sz="8" w:color="auto"/>
              <w:bottom w:val="single" w:sz="8" w:color="auto"/>
            </w:tcBorders>
            <w:gridSpan w:val="2"/>
          </w:tcPr>
          <w:p>
            <w:pPr>
              <w:jc w:val="right"/>
              <w:ind w:right="80"/>
              <w:spacing w:after="0"/>
              <w:rPr>
                <w:sz w:val="20"/>
                <w:szCs w:val="20"/>
                <w:color w:val="auto"/>
              </w:rPr>
            </w:pPr>
            <w:r>
              <w:rPr>
                <w:rFonts w:ascii="Times New Roman" w:cs="Times New Roman" w:eastAsia="Times New Roman" w:hAnsi="Times New Roman"/>
                <w:sz w:val="28"/>
                <w:szCs w:val="28"/>
                <w:color w:val="auto"/>
              </w:rPr>
              <w:t>Годы</w:t>
            </w:r>
          </w:p>
        </w:tc>
        <w:tc>
          <w:tcPr>
            <w:tcW w:w="720" w:type="dxa"/>
            <w:vAlign w:val="bottom"/>
            <w:tcBorders>
              <w:top w:val="single" w:sz="8" w:color="auto"/>
              <w:bottom w:val="single" w:sz="8" w:color="auto"/>
            </w:tcBorders>
          </w:tcPr>
          <w:p>
            <w:pPr>
              <w:spacing w:after="0"/>
              <w:rPr>
                <w:sz w:val="24"/>
                <w:szCs w:val="24"/>
                <w:color w:val="auto"/>
              </w:rPr>
            </w:pPr>
          </w:p>
        </w:tc>
        <w:tc>
          <w:tcPr>
            <w:tcW w:w="840" w:type="dxa"/>
            <w:vAlign w:val="bottom"/>
            <w:tcBorders>
              <w:top w:val="single" w:sz="8" w:color="auto"/>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97"/>
        </w:trPr>
        <w:tc>
          <w:tcPr>
            <w:tcW w:w="4880" w:type="dxa"/>
            <w:vAlign w:val="bottom"/>
            <w:tcBorders>
              <w:left w:val="single" w:sz="8" w:color="auto"/>
              <w:right w:val="single" w:sz="8" w:color="auto"/>
            </w:tcBorders>
            <w:vMerge w:val="continue"/>
          </w:tcPr>
          <w:p>
            <w:pPr>
              <w:spacing w:after="0"/>
              <w:rPr>
                <w:sz w:val="17"/>
                <w:szCs w:val="17"/>
                <w:color w:val="auto"/>
              </w:rPr>
            </w:pPr>
          </w:p>
        </w:tc>
        <w:tc>
          <w:tcPr>
            <w:tcW w:w="760" w:type="dxa"/>
            <w:vAlign w:val="bottom"/>
            <w:tcBorders>
              <w:right w:val="single" w:sz="8" w:color="auto"/>
            </w:tcBorders>
            <w:vMerge w:val="restart"/>
          </w:tcPr>
          <w:p>
            <w:pPr>
              <w:jc w:val="right"/>
              <w:ind w:right="200"/>
              <w:spacing w:after="0"/>
              <w:rPr>
                <w:sz w:val="20"/>
                <w:szCs w:val="20"/>
                <w:color w:val="auto"/>
              </w:rPr>
            </w:pPr>
            <w:r>
              <w:rPr>
                <w:rFonts w:ascii="Times New Roman" w:cs="Times New Roman" w:eastAsia="Times New Roman" w:hAnsi="Times New Roman"/>
                <w:sz w:val="28"/>
                <w:szCs w:val="28"/>
                <w:color w:val="auto"/>
              </w:rPr>
              <w:t>1</w:t>
            </w:r>
          </w:p>
        </w:tc>
        <w:tc>
          <w:tcPr>
            <w:tcW w:w="700" w:type="dxa"/>
            <w:vAlign w:val="bottom"/>
            <w:tcBorders>
              <w:right w:val="single" w:sz="8" w:color="auto"/>
            </w:tcBorders>
            <w:vMerge w:val="restart"/>
          </w:tcPr>
          <w:p>
            <w:pPr>
              <w:jc w:val="right"/>
              <w:ind w:right="160"/>
              <w:spacing w:after="0"/>
              <w:rPr>
                <w:sz w:val="20"/>
                <w:szCs w:val="20"/>
                <w:color w:val="auto"/>
              </w:rPr>
            </w:pPr>
            <w:r>
              <w:rPr>
                <w:rFonts w:ascii="Times New Roman" w:cs="Times New Roman" w:eastAsia="Times New Roman" w:hAnsi="Times New Roman"/>
                <w:sz w:val="28"/>
                <w:szCs w:val="28"/>
                <w:color w:val="auto"/>
              </w:rPr>
              <w:t>2</w:t>
            </w:r>
          </w:p>
        </w:tc>
        <w:tc>
          <w:tcPr>
            <w:tcW w:w="640" w:type="dxa"/>
            <w:vAlign w:val="bottom"/>
            <w:tcBorders>
              <w:right w:val="single" w:sz="8" w:color="auto"/>
            </w:tcBorders>
            <w:vMerge w:val="restart"/>
          </w:tcPr>
          <w:p>
            <w:pPr>
              <w:jc w:val="right"/>
              <w:ind w:right="120"/>
              <w:spacing w:after="0"/>
              <w:rPr>
                <w:sz w:val="20"/>
                <w:szCs w:val="20"/>
                <w:color w:val="auto"/>
              </w:rPr>
            </w:pPr>
            <w:r>
              <w:rPr>
                <w:rFonts w:ascii="Times New Roman" w:cs="Times New Roman" w:eastAsia="Times New Roman" w:hAnsi="Times New Roman"/>
                <w:sz w:val="28"/>
                <w:szCs w:val="28"/>
                <w:color w:val="auto"/>
              </w:rPr>
              <w:t>3</w:t>
            </w:r>
          </w:p>
        </w:tc>
        <w:tc>
          <w:tcPr>
            <w:tcW w:w="780" w:type="dxa"/>
            <w:vAlign w:val="bottom"/>
            <w:tcBorders>
              <w:right w:val="single" w:sz="8" w:color="auto"/>
            </w:tcBorders>
            <w:vMerge w:val="restart"/>
          </w:tcPr>
          <w:p>
            <w:pPr>
              <w:jc w:val="right"/>
              <w:ind w:right="200"/>
              <w:spacing w:after="0"/>
              <w:rPr>
                <w:sz w:val="20"/>
                <w:szCs w:val="20"/>
                <w:color w:val="auto"/>
              </w:rPr>
            </w:pPr>
            <w:r>
              <w:rPr>
                <w:rFonts w:ascii="Times New Roman" w:cs="Times New Roman" w:eastAsia="Times New Roman" w:hAnsi="Times New Roman"/>
                <w:sz w:val="28"/>
                <w:szCs w:val="28"/>
                <w:color w:val="auto"/>
              </w:rPr>
              <w:t>4</w:t>
            </w:r>
          </w:p>
        </w:tc>
        <w:tc>
          <w:tcPr>
            <w:tcW w:w="720" w:type="dxa"/>
            <w:vAlign w:val="bottom"/>
            <w:tcBorders>
              <w:right w:val="single" w:sz="8" w:color="auto"/>
            </w:tcBorders>
            <w:vMerge w:val="restart"/>
          </w:tcPr>
          <w:p>
            <w:pPr>
              <w:jc w:val="right"/>
              <w:ind w:right="180"/>
              <w:spacing w:after="0"/>
              <w:rPr>
                <w:sz w:val="20"/>
                <w:szCs w:val="20"/>
                <w:color w:val="auto"/>
              </w:rPr>
            </w:pPr>
            <w:r>
              <w:rPr>
                <w:rFonts w:ascii="Times New Roman" w:cs="Times New Roman" w:eastAsia="Times New Roman" w:hAnsi="Times New Roman"/>
                <w:sz w:val="28"/>
                <w:szCs w:val="28"/>
                <w:color w:val="auto"/>
              </w:rPr>
              <w:t>5</w:t>
            </w:r>
          </w:p>
        </w:tc>
        <w:tc>
          <w:tcPr>
            <w:tcW w:w="840" w:type="dxa"/>
            <w:vAlign w:val="bottom"/>
            <w:tcBorders>
              <w:right w:val="single" w:sz="8" w:color="auto"/>
            </w:tcBorders>
            <w:vMerge w:val="restart"/>
          </w:tcPr>
          <w:p>
            <w:pPr>
              <w:jc w:val="right"/>
              <w:ind w:right="220"/>
              <w:spacing w:after="0"/>
              <w:rPr>
                <w:sz w:val="20"/>
                <w:szCs w:val="20"/>
                <w:color w:val="auto"/>
              </w:rPr>
            </w:pPr>
            <w:r>
              <w:rPr>
                <w:rFonts w:ascii="Times New Roman" w:cs="Times New Roman" w:eastAsia="Times New Roman" w:hAnsi="Times New Roman"/>
                <w:sz w:val="28"/>
                <w:szCs w:val="28"/>
                <w:color w:val="auto"/>
              </w:rPr>
              <w:t>6</w:t>
            </w:r>
          </w:p>
        </w:tc>
        <w:tc>
          <w:tcPr>
            <w:tcW w:w="0" w:type="dxa"/>
            <w:vAlign w:val="bottom"/>
          </w:tcPr>
          <w:p>
            <w:pPr>
              <w:spacing w:after="0"/>
              <w:rPr>
                <w:sz w:val="1"/>
                <w:szCs w:val="1"/>
                <w:color w:val="auto"/>
              </w:rPr>
            </w:pPr>
          </w:p>
        </w:tc>
      </w:tr>
      <w:tr>
        <w:trPr>
          <w:trHeight w:val="172"/>
        </w:trPr>
        <w:tc>
          <w:tcPr>
            <w:tcW w:w="4880" w:type="dxa"/>
            <w:vAlign w:val="bottom"/>
            <w:tcBorders>
              <w:left w:val="single" w:sz="8" w:color="auto"/>
              <w:bottom w:val="single" w:sz="8" w:color="auto"/>
              <w:right w:val="single" w:sz="8" w:color="auto"/>
            </w:tcBorders>
          </w:tcPr>
          <w:p>
            <w:pPr>
              <w:spacing w:after="0"/>
              <w:rPr>
                <w:sz w:val="14"/>
                <w:szCs w:val="14"/>
                <w:color w:val="auto"/>
              </w:rPr>
            </w:pPr>
          </w:p>
        </w:tc>
        <w:tc>
          <w:tcPr>
            <w:tcW w:w="760" w:type="dxa"/>
            <w:vAlign w:val="bottom"/>
            <w:tcBorders>
              <w:bottom w:val="single" w:sz="8" w:color="auto"/>
              <w:right w:val="single" w:sz="8" w:color="auto"/>
            </w:tcBorders>
            <w:vMerge w:val="continue"/>
          </w:tcPr>
          <w:p>
            <w:pPr>
              <w:spacing w:after="0"/>
              <w:rPr>
                <w:sz w:val="14"/>
                <w:szCs w:val="14"/>
                <w:color w:val="auto"/>
              </w:rPr>
            </w:pPr>
          </w:p>
        </w:tc>
        <w:tc>
          <w:tcPr>
            <w:tcW w:w="700" w:type="dxa"/>
            <w:vAlign w:val="bottom"/>
            <w:tcBorders>
              <w:bottom w:val="single" w:sz="8" w:color="auto"/>
              <w:right w:val="single" w:sz="8" w:color="auto"/>
            </w:tcBorders>
            <w:vMerge w:val="continue"/>
          </w:tcPr>
          <w:p>
            <w:pPr>
              <w:spacing w:after="0"/>
              <w:rPr>
                <w:sz w:val="14"/>
                <w:szCs w:val="14"/>
                <w:color w:val="auto"/>
              </w:rPr>
            </w:pPr>
          </w:p>
        </w:tc>
        <w:tc>
          <w:tcPr>
            <w:tcW w:w="640" w:type="dxa"/>
            <w:vAlign w:val="bottom"/>
            <w:tcBorders>
              <w:bottom w:val="single" w:sz="8" w:color="auto"/>
              <w:right w:val="single" w:sz="8" w:color="auto"/>
            </w:tcBorders>
            <w:vMerge w:val="continue"/>
          </w:tcPr>
          <w:p>
            <w:pPr>
              <w:spacing w:after="0"/>
              <w:rPr>
                <w:sz w:val="14"/>
                <w:szCs w:val="14"/>
                <w:color w:val="auto"/>
              </w:rPr>
            </w:pPr>
          </w:p>
        </w:tc>
        <w:tc>
          <w:tcPr>
            <w:tcW w:w="780" w:type="dxa"/>
            <w:vAlign w:val="bottom"/>
            <w:tcBorders>
              <w:bottom w:val="single" w:sz="8" w:color="auto"/>
              <w:right w:val="single" w:sz="8" w:color="auto"/>
            </w:tcBorders>
            <w:vMerge w:val="continue"/>
          </w:tcPr>
          <w:p>
            <w:pPr>
              <w:spacing w:after="0"/>
              <w:rPr>
                <w:sz w:val="14"/>
                <w:szCs w:val="14"/>
                <w:color w:val="auto"/>
              </w:rPr>
            </w:pPr>
          </w:p>
        </w:tc>
        <w:tc>
          <w:tcPr>
            <w:tcW w:w="720" w:type="dxa"/>
            <w:vAlign w:val="bottom"/>
            <w:tcBorders>
              <w:bottom w:val="single" w:sz="8" w:color="auto"/>
              <w:right w:val="single" w:sz="8" w:color="auto"/>
            </w:tcBorders>
            <w:vMerge w:val="continue"/>
          </w:tcPr>
          <w:p>
            <w:pPr>
              <w:spacing w:after="0"/>
              <w:rPr>
                <w:sz w:val="14"/>
                <w:szCs w:val="14"/>
                <w:color w:val="auto"/>
              </w:rPr>
            </w:pPr>
          </w:p>
        </w:tc>
        <w:tc>
          <w:tcPr>
            <w:tcW w:w="840" w:type="dxa"/>
            <w:vAlign w:val="bottom"/>
            <w:tcBorders>
              <w:bottom w:val="single" w:sz="8" w:color="auto"/>
              <w:right w:val="single" w:sz="8" w:color="auto"/>
            </w:tcBorders>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317"/>
        </w:trPr>
        <w:tc>
          <w:tcPr>
            <w:tcW w:w="4880" w:type="dxa"/>
            <w:vAlign w:val="bottom"/>
            <w:tcBorders>
              <w:left w:val="single" w:sz="8" w:color="auto"/>
              <w:bottom w:val="single" w:sz="8" w:color="auto"/>
              <w:right w:val="single" w:sz="8" w:color="auto"/>
            </w:tcBorders>
          </w:tcPr>
          <w:p>
            <w:pPr>
              <w:ind w:left="40"/>
              <w:spacing w:after="0" w:line="317" w:lineRule="exact"/>
              <w:rPr>
                <w:sz w:val="20"/>
                <w:szCs w:val="20"/>
                <w:color w:val="auto"/>
              </w:rPr>
            </w:pPr>
            <w:r>
              <w:rPr>
                <w:rFonts w:ascii="Times New Roman" w:cs="Times New Roman" w:eastAsia="Times New Roman" w:hAnsi="Times New Roman"/>
                <w:sz w:val="28"/>
                <w:szCs w:val="28"/>
                <w:color w:val="auto"/>
              </w:rPr>
              <w:t>Выручка</w:t>
            </w:r>
          </w:p>
        </w:tc>
        <w:tc>
          <w:tcPr>
            <w:tcW w:w="760" w:type="dxa"/>
            <w:vAlign w:val="bottom"/>
            <w:tcBorders>
              <w:bottom w:val="single" w:sz="8" w:color="auto"/>
              <w:right w:val="single" w:sz="8" w:color="auto"/>
            </w:tcBorders>
          </w:tcPr>
          <w:p>
            <w:pPr>
              <w:jc w:val="right"/>
              <w:spacing w:after="0" w:line="317" w:lineRule="exact"/>
              <w:rPr>
                <w:sz w:val="20"/>
                <w:szCs w:val="20"/>
                <w:color w:val="auto"/>
              </w:rPr>
            </w:pPr>
            <w:r>
              <w:rPr>
                <w:rFonts w:ascii="Times New Roman" w:cs="Times New Roman" w:eastAsia="Times New Roman" w:hAnsi="Times New Roman"/>
                <w:sz w:val="28"/>
                <w:szCs w:val="28"/>
                <w:color w:val="auto"/>
              </w:rPr>
              <w:t>1000</w:t>
            </w:r>
          </w:p>
        </w:tc>
        <w:tc>
          <w:tcPr>
            <w:tcW w:w="700" w:type="dxa"/>
            <w:vAlign w:val="bottom"/>
            <w:tcBorders>
              <w:bottom w:val="single" w:sz="8" w:color="auto"/>
              <w:right w:val="single" w:sz="8" w:color="auto"/>
            </w:tcBorders>
          </w:tcPr>
          <w:p>
            <w:pPr>
              <w:jc w:val="right"/>
              <w:spacing w:after="0" w:line="317" w:lineRule="exact"/>
              <w:rPr>
                <w:sz w:val="20"/>
                <w:szCs w:val="20"/>
                <w:color w:val="auto"/>
              </w:rPr>
            </w:pPr>
            <w:r>
              <w:rPr>
                <w:rFonts w:ascii="Times New Roman" w:cs="Times New Roman" w:eastAsia="Times New Roman" w:hAnsi="Times New Roman"/>
                <w:sz w:val="28"/>
                <w:szCs w:val="28"/>
                <w:color w:val="auto"/>
              </w:rPr>
              <w:t>1200</w:t>
            </w:r>
          </w:p>
        </w:tc>
        <w:tc>
          <w:tcPr>
            <w:tcW w:w="640" w:type="dxa"/>
            <w:vAlign w:val="bottom"/>
            <w:tcBorders>
              <w:bottom w:val="single" w:sz="8" w:color="auto"/>
              <w:right w:val="single" w:sz="8" w:color="auto"/>
            </w:tcBorders>
          </w:tcPr>
          <w:p>
            <w:pPr>
              <w:jc w:val="right"/>
              <w:spacing w:after="0" w:line="317" w:lineRule="exact"/>
              <w:rPr>
                <w:sz w:val="20"/>
                <w:szCs w:val="20"/>
                <w:color w:val="auto"/>
              </w:rPr>
            </w:pPr>
            <w:r>
              <w:rPr>
                <w:rFonts w:ascii="Times New Roman" w:cs="Times New Roman" w:eastAsia="Times New Roman" w:hAnsi="Times New Roman"/>
                <w:sz w:val="28"/>
                <w:szCs w:val="28"/>
                <w:color w:val="auto"/>
                <w:w w:val="99"/>
              </w:rPr>
              <w:t>1500</w:t>
            </w:r>
          </w:p>
        </w:tc>
        <w:tc>
          <w:tcPr>
            <w:tcW w:w="780" w:type="dxa"/>
            <w:vAlign w:val="bottom"/>
            <w:tcBorders>
              <w:bottom w:val="single" w:sz="8" w:color="auto"/>
              <w:right w:val="single" w:sz="8" w:color="auto"/>
            </w:tcBorders>
          </w:tcPr>
          <w:p>
            <w:pPr>
              <w:jc w:val="right"/>
              <w:spacing w:after="0" w:line="317" w:lineRule="exact"/>
              <w:rPr>
                <w:sz w:val="20"/>
                <w:szCs w:val="20"/>
                <w:color w:val="auto"/>
              </w:rPr>
            </w:pPr>
            <w:r>
              <w:rPr>
                <w:rFonts w:ascii="Times New Roman" w:cs="Times New Roman" w:eastAsia="Times New Roman" w:hAnsi="Times New Roman"/>
                <w:sz w:val="28"/>
                <w:szCs w:val="28"/>
                <w:color w:val="auto"/>
              </w:rPr>
              <w:t>1500</w:t>
            </w:r>
          </w:p>
        </w:tc>
        <w:tc>
          <w:tcPr>
            <w:tcW w:w="720" w:type="dxa"/>
            <w:vAlign w:val="bottom"/>
            <w:tcBorders>
              <w:bottom w:val="single" w:sz="8" w:color="auto"/>
              <w:right w:val="single" w:sz="8" w:color="auto"/>
            </w:tcBorders>
          </w:tcPr>
          <w:p>
            <w:pPr>
              <w:jc w:val="right"/>
              <w:spacing w:after="0" w:line="317" w:lineRule="exact"/>
              <w:rPr>
                <w:sz w:val="20"/>
                <w:szCs w:val="20"/>
                <w:color w:val="auto"/>
              </w:rPr>
            </w:pPr>
            <w:r>
              <w:rPr>
                <w:rFonts w:ascii="Times New Roman" w:cs="Times New Roman" w:eastAsia="Times New Roman" w:hAnsi="Times New Roman"/>
                <w:sz w:val="28"/>
                <w:szCs w:val="28"/>
                <w:color w:val="auto"/>
              </w:rPr>
              <w:t>1500</w:t>
            </w:r>
          </w:p>
        </w:tc>
        <w:tc>
          <w:tcPr>
            <w:tcW w:w="840" w:type="dxa"/>
            <w:vAlign w:val="bottom"/>
            <w:tcBorders>
              <w:bottom w:val="single" w:sz="8" w:color="auto"/>
              <w:right w:val="single" w:sz="8" w:color="auto"/>
            </w:tcBorders>
          </w:tcPr>
          <w:p>
            <w:pPr>
              <w:jc w:val="right"/>
              <w:ind w:right="20"/>
              <w:spacing w:after="0" w:line="317" w:lineRule="exact"/>
              <w:rPr>
                <w:sz w:val="20"/>
                <w:szCs w:val="20"/>
                <w:color w:val="auto"/>
              </w:rPr>
            </w:pPr>
            <w:r>
              <w:rPr>
                <w:rFonts w:ascii="Times New Roman" w:cs="Times New Roman" w:eastAsia="Times New Roman" w:hAnsi="Times New Roman"/>
                <w:sz w:val="28"/>
                <w:szCs w:val="28"/>
                <w:color w:val="auto"/>
              </w:rPr>
              <w:t>1500</w:t>
            </w:r>
          </w:p>
        </w:tc>
        <w:tc>
          <w:tcPr>
            <w:tcW w:w="0" w:type="dxa"/>
            <w:vAlign w:val="bottom"/>
          </w:tcPr>
          <w:p>
            <w:pPr>
              <w:spacing w:after="0"/>
              <w:rPr>
                <w:sz w:val="1"/>
                <w:szCs w:val="1"/>
                <w:color w:val="auto"/>
              </w:rPr>
            </w:pPr>
          </w:p>
        </w:tc>
      </w:tr>
      <w:tr>
        <w:trPr>
          <w:trHeight w:val="291"/>
        </w:trPr>
        <w:tc>
          <w:tcPr>
            <w:tcW w:w="4880" w:type="dxa"/>
            <w:vAlign w:val="bottom"/>
            <w:tcBorders>
              <w:left w:val="single" w:sz="8" w:color="auto"/>
              <w:right w:val="single" w:sz="8" w:color="auto"/>
            </w:tcBorders>
          </w:tcPr>
          <w:p>
            <w:pPr>
              <w:ind w:left="20"/>
              <w:spacing w:after="0" w:line="290" w:lineRule="exact"/>
              <w:rPr>
                <w:sz w:val="20"/>
                <w:szCs w:val="20"/>
                <w:color w:val="auto"/>
              </w:rPr>
            </w:pPr>
            <w:r>
              <w:rPr>
                <w:rFonts w:ascii="Times New Roman" w:cs="Times New Roman" w:eastAsia="Times New Roman" w:hAnsi="Times New Roman"/>
                <w:sz w:val="28"/>
                <w:szCs w:val="28"/>
                <w:color w:val="auto"/>
              </w:rPr>
              <w:t>Прибыль до вычета процентов и</w:t>
            </w:r>
          </w:p>
        </w:tc>
        <w:tc>
          <w:tcPr>
            <w:tcW w:w="760" w:type="dxa"/>
            <w:vAlign w:val="bottom"/>
            <w:tcBorders>
              <w:right w:val="single" w:sz="8" w:color="auto"/>
            </w:tcBorders>
          </w:tcPr>
          <w:p>
            <w:pPr>
              <w:jc w:val="center"/>
              <w:spacing w:after="0" w:line="290" w:lineRule="exact"/>
              <w:rPr>
                <w:sz w:val="20"/>
                <w:szCs w:val="20"/>
                <w:color w:val="auto"/>
              </w:rPr>
            </w:pPr>
            <w:r>
              <w:rPr>
                <w:rFonts w:ascii="Times New Roman" w:cs="Times New Roman" w:eastAsia="Times New Roman" w:hAnsi="Times New Roman"/>
                <w:sz w:val="28"/>
                <w:szCs w:val="28"/>
                <w:color w:val="auto"/>
                <w:w w:val="99"/>
              </w:rPr>
              <w:t>200</w:t>
            </w:r>
          </w:p>
        </w:tc>
        <w:tc>
          <w:tcPr>
            <w:tcW w:w="700" w:type="dxa"/>
            <w:vAlign w:val="bottom"/>
            <w:tcBorders>
              <w:right w:val="single" w:sz="8" w:color="auto"/>
            </w:tcBorders>
          </w:tcPr>
          <w:p>
            <w:pPr>
              <w:jc w:val="center"/>
              <w:spacing w:after="0" w:line="290" w:lineRule="exact"/>
              <w:rPr>
                <w:sz w:val="20"/>
                <w:szCs w:val="20"/>
                <w:color w:val="auto"/>
              </w:rPr>
            </w:pPr>
            <w:r>
              <w:rPr>
                <w:rFonts w:ascii="Times New Roman" w:cs="Times New Roman" w:eastAsia="Times New Roman" w:hAnsi="Times New Roman"/>
                <w:sz w:val="28"/>
                <w:szCs w:val="28"/>
                <w:color w:val="auto"/>
                <w:w w:val="99"/>
              </w:rPr>
              <w:t>240</w:t>
            </w:r>
          </w:p>
        </w:tc>
        <w:tc>
          <w:tcPr>
            <w:tcW w:w="640" w:type="dxa"/>
            <w:vAlign w:val="bottom"/>
            <w:tcBorders>
              <w:right w:val="single" w:sz="8" w:color="auto"/>
            </w:tcBorders>
          </w:tcPr>
          <w:p>
            <w:pPr>
              <w:jc w:val="center"/>
              <w:spacing w:after="0" w:line="290" w:lineRule="exact"/>
              <w:rPr>
                <w:sz w:val="20"/>
                <w:szCs w:val="20"/>
                <w:color w:val="auto"/>
              </w:rPr>
            </w:pPr>
            <w:r>
              <w:rPr>
                <w:rFonts w:ascii="Times New Roman" w:cs="Times New Roman" w:eastAsia="Times New Roman" w:hAnsi="Times New Roman"/>
                <w:sz w:val="28"/>
                <w:szCs w:val="28"/>
                <w:color w:val="auto"/>
                <w:w w:val="99"/>
              </w:rPr>
              <w:t>300</w:t>
            </w:r>
          </w:p>
        </w:tc>
        <w:tc>
          <w:tcPr>
            <w:tcW w:w="780" w:type="dxa"/>
            <w:vAlign w:val="bottom"/>
            <w:tcBorders>
              <w:right w:val="single" w:sz="8" w:color="auto"/>
            </w:tcBorders>
          </w:tcPr>
          <w:p>
            <w:pPr>
              <w:jc w:val="center"/>
              <w:spacing w:after="0" w:line="290" w:lineRule="exact"/>
              <w:rPr>
                <w:sz w:val="20"/>
                <w:szCs w:val="20"/>
                <w:color w:val="auto"/>
              </w:rPr>
            </w:pPr>
            <w:r>
              <w:rPr>
                <w:rFonts w:ascii="Times New Roman" w:cs="Times New Roman" w:eastAsia="Times New Roman" w:hAnsi="Times New Roman"/>
                <w:sz w:val="28"/>
                <w:szCs w:val="28"/>
                <w:color w:val="auto"/>
                <w:w w:val="99"/>
              </w:rPr>
              <w:t>300</w:t>
            </w:r>
          </w:p>
        </w:tc>
        <w:tc>
          <w:tcPr>
            <w:tcW w:w="720" w:type="dxa"/>
            <w:vAlign w:val="bottom"/>
            <w:tcBorders>
              <w:right w:val="single" w:sz="8" w:color="auto"/>
            </w:tcBorders>
          </w:tcPr>
          <w:p>
            <w:pPr>
              <w:jc w:val="center"/>
              <w:spacing w:after="0" w:line="290" w:lineRule="exact"/>
              <w:rPr>
                <w:sz w:val="20"/>
                <w:szCs w:val="20"/>
                <w:color w:val="auto"/>
              </w:rPr>
            </w:pPr>
            <w:r>
              <w:rPr>
                <w:rFonts w:ascii="Times New Roman" w:cs="Times New Roman" w:eastAsia="Times New Roman" w:hAnsi="Times New Roman"/>
                <w:sz w:val="28"/>
                <w:szCs w:val="28"/>
                <w:color w:val="auto"/>
                <w:w w:val="99"/>
              </w:rPr>
              <w:t>300</w:t>
            </w:r>
          </w:p>
        </w:tc>
        <w:tc>
          <w:tcPr>
            <w:tcW w:w="840" w:type="dxa"/>
            <w:vAlign w:val="bottom"/>
            <w:tcBorders>
              <w:right w:val="single" w:sz="8" w:color="auto"/>
            </w:tcBorders>
          </w:tcPr>
          <w:p>
            <w:pPr>
              <w:jc w:val="center"/>
              <w:spacing w:after="0" w:line="290" w:lineRule="exact"/>
              <w:rPr>
                <w:sz w:val="20"/>
                <w:szCs w:val="20"/>
                <w:color w:val="auto"/>
              </w:rPr>
            </w:pPr>
            <w:r>
              <w:rPr>
                <w:rFonts w:ascii="Times New Roman" w:cs="Times New Roman" w:eastAsia="Times New Roman" w:hAnsi="Times New Roman"/>
                <w:sz w:val="28"/>
                <w:szCs w:val="28"/>
                <w:color w:val="auto"/>
                <w:w w:val="99"/>
              </w:rPr>
              <w:t>300</w:t>
            </w:r>
          </w:p>
        </w:tc>
        <w:tc>
          <w:tcPr>
            <w:tcW w:w="0" w:type="dxa"/>
            <w:vAlign w:val="bottom"/>
          </w:tcPr>
          <w:p>
            <w:pPr>
              <w:spacing w:after="0"/>
              <w:rPr>
                <w:sz w:val="1"/>
                <w:szCs w:val="1"/>
                <w:color w:val="auto"/>
              </w:rPr>
            </w:pPr>
          </w:p>
        </w:tc>
      </w:tr>
      <w:tr>
        <w:trPr>
          <w:trHeight w:val="343"/>
        </w:trPr>
        <w:tc>
          <w:tcPr>
            <w:tcW w:w="4880" w:type="dxa"/>
            <w:vAlign w:val="bottom"/>
            <w:tcBorders>
              <w:left w:val="single" w:sz="8" w:color="auto"/>
              <w:bottom w:val="single" w:sz="8" w:color="auto"/>
              <w:right w:val="single" w:sz="8" w:color="auto"/>
            </w:tcBorders>
          </w:tcPr>
          <w:p>
            <w:pPr>
              <w:ind w:left="40"/>
              <w:spacing w:after="0"/>
              <w:rPr>
                <w:sz w:val="20"/>
                <w:szCs w:val="20"/>
                <w:color w:val="auto"/>
              </w:rPr>
            </w:pPr>
            <w:r>
              <w:rPr>
                <w:rFonts w:ascii="Times New Roman" w:cs="Times New Roman" w:eastAsia="Times New Roman" w:hAnsi="Times New Roman"/>
                <w:sz w:val="28"/>
                <w:szCs w:val="28"/>
                <w:color w:val="auto"/>
              </w:rPr>
              <w:t>налогов</w:t>
            </w:r>
          </w:p>
        </w:tc>
        <w:tc>
          <w:tcPr>
            <w:tcW w:w="760" w:type="dxa"/>
            <w:vAlign w:val="bottom"/>
            <w:tcBorders>
              <w:bottom w:val="single" w:sz="8" w:color="auto"/>
              <w:right w:val="single" w:sz="8" w:color="auto"/>
            </w:tcBorders>
          </w:tcPr>
          <w:p>
            <w:pPr>
              <w:spacing w:after="0"/>
              <w:rPr>
                <w:sz w:val="24"/>
                <w:szCs w:val="24"/>
                <w:color w:val="auto"/>
              </w:rPr>
            </w:pPr>
          </w:p>
        </w:tc>
        <w:tc>
          <w:tcPr>
            <w:tcW w:w="700" w:type="dxa"/>
            <w:vAlign w:val="bottom"/>
            <w:tcBorders>
              <w:bottom w:val="single" w:sz="8" w:color="auto"/>
              <w:right w:val="single" w:sz="8" w:color="auto"/>
            </w:tcBorders>
          </w:tcPr>
          <w:p>
            <w:pPr>
              <w:spacing w:after="0"/>
              <w:rPr>
                <w:sz w:val="24"/>
                <w:szCs w:val="24"/>
                <w:color w:val="auto"/>
              </w:rPr>
            </w:pPr>
          </w:p>
        </w:tc>
        <w:tc>
          <w:tcPr>
            <w:tcW w:w="640" w:type="dxa"/>
            <w:vAlign w:val="bottom"/>
            <w:tcBorders>
              <w:bottom w:val="single" w:sz="8" w:color="auto"/>
              <w:right w:val="single" w:sz="8" w:color="auto"/>
            </w:tcBorders>
          </w:tcPr>
          <w:p>
            <w:pPr>
              <w:spacing w:after="0"/>
              <w:rPr>
                <w:sz w:val="24"/>
                <w:szCs w:val="24"/>
                <w:color w:val="auto"/>
              </w:rPr>
            </w:pPr>
          </w:p>
        </w:tc>
        <w:tc>
          <w:tcPr>
            <w:tcW w:w="780" w:type="dxa"/>
            <w:vAlign w:val="bottom"/>
            <w:tcBorders>
              <w:bottom w:val="single" w:sz="8" w:color="auto"/>
              <w:right w:val="single" w:sz="8" w:color="auto"/>
            </w:tcBorders>
          </w:tcPr>
          <w:p>
            <w:pPr>
              <w:spacing w:after="0"/>
              <w:rPr>
                <w:sz w:val="24"/>
                <w:szCs w:val="24"/>
                <w:color w:val="auto"/>
              </w:rPr>
            </w:pPr>
          </w:p>
        </w:tc>
        <w:tc>
          <w:tcPr>
            <w:tcW w:w="720" w:type="dxa"/>
            <w:vAlign w:val="bottom"/>
            <w:tcBorders>
              <w:bottom w:val="single" w:sz="8" w:color="auto"/>
              <w:right w:val="single" w:sz="8" w:color="auto"/>
            </w:tcBorders>
          </w:tcPr>
          <w:p>
            <w:pPr>
              <w:spacing w:after="0"/>
              <w:rPr>
                <w:sz w:val="24"/>
                <w:szCs w:val="24"/>
                <w:color w:val="auto"/>
              </w:rPr>
            </w:pPr>
          </w:p>
        </w:tc>
        <w:tc>
          <w:tcPr>
            <w:tcW w:w="84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91"/>
        </w:trPr>
        <w:tc>
          <w:tcPr>
            <w:tcW w:w="4880" w:type="dxa"/>
            <w:vAlign w:val="bottom"/>
            <w:tcBorders>
              <w:left w:val="single" w:sz="8" w:color="auto"/>
              <w:right w:val="single" w:sz="8" w:color="auto"/>
            </w:tcBorders>
          </w:tcPr>
          <w:p>
            <w:pPr>
              <w:ind w:left="20"/>
              <w:spacing w:after="0" w:line="290" w:lineRule="exact"/>
              <w:rPr>
                <w:sz w:val="20"/>
                <w:szCs w:val="20"/>
                <w:color w:val="auto"/>
              </w:rPr>
            </w:pPr>
            <w:r>
              <w:rPr>
                <w:rFonts w:ascii="Times New Roman" w:cs="Times New Roman" w:eastAsia="Times New Roman" w:hAnsi="Times New Roman"/>
                <w:sz w:val="28"/>
                <w:szCs w:val="28"/>
                <w:color w:val="auto"/>
              </w:rPr>
              <w:t>Чистая операционная прибыль после</w:t>
            </w:r>
          </w:p>
        </w:tc>
        <w:tc>
          <w:tcPr>
            <w:tcW w:w="760" w:type="dxa"/>
            <w:vAlign w:val="bottom"/>
            <w:tcBorders>
              <w:right w:val="single" w:sz="8" w:color="auto"/>
            </w:tcBorders>
          </w:tcPr>
          <w:p>
            <w:pPr>
              <w:jc w:val="center"/>
              <w:spacing w:after="0" w:line="290" w:lineRule="exact"/>
              <w:rPr>
                <w:sz w:val="20"/>
                <w:szCs w:val="20"/>
                <w:color w:val="auto"/>
              </w:rPr>
            </w:pPr>
            <w:r>
              <w:rPr>
                <w:rFonts w:ascii="Times New Roman" w:cs="Times New Roman" w:eastAsia="Times New Roman" w:hAnsi="Times New Roman"/>
                <w:sz w:val="28"/>
                <w:szCs w:val="28"/>
                <w:color w:val="auto"/>
                <w:w w:val="99"/>
              </w:rPr>
              <w:t>152</w:t>
            </w:r>
          </w:p>
        </w:tc>
        <w:tc>
          <w:tcPr>
            <w:tcW w:w="700" w:type="dxa"/>
            <w:vAlign w:val="bottom"/>
            <w:tcBorders>
              <w:right w:val="single" w:sz="8" w:color="auto"/>
            </w:tcBorders>
          </w:tcPr>
          <w:p>
            <w:pPr>
              <w:jc w:val="center"/>
              <w:spacing w:after="0" w:line="290" w:lineRule="exact"/>
              <w:rPr>
                <w:sz w:val="20"/>
                <w:szCs w:val="20"/>
                <w:color w:val="auto"/>
              </w:rPr>
            </w:pPr>
            <w:r>
              <w:rPr>
                <w:rFonts w:ascii="Times New Roman" w:cs="Times New Roman" w:eastAsia="Times New Roman" w:hAnsi="Times New Roman"/>
                <w:sz w:val="28"/>
                <w:szCs w:val="28"/>
                <w:color w:val="auto"/>
                <w:w w:val="99"/>
              </w:rPr>
              <w:t>182</w:t>
            </w:r>
          </w:p>
        </w:tc>
        <w:tc>
          <w:tcPr>
            <w:tcW w:w="640" w:type="dxa"/>
            <w:vAlign w:val="bottom"/>
            <w:tcBorders>
              <w:right w:val="single" w:sz="8" w:color="auto"/>
            </w:tcBorders>
          </w:tcPr>
          <w:p>
            <w:pPr>
              <w:jc w:val="center"/>
              <w:spacing w:after="0" w:line="290" w:lineRule="exact"/>
              <w:rPr>
                <w:sz w:val="20"/>
                <w:szCs w:val="20"/>
                <w:color w:val="auto"/>
              </w:rPr>
            </w:pPr>
            <w:r>
              <w:rPr>
                <w:rFonts w:ascii="Times New Roman" w:cs="Times New Roman" w:eastAsia="Times New Roman" w:hAnsi="Times New Roman"/>
                <w:sz w:val="28"/>
                <w:szCs w:val="28"/>
                <w:color w:val="auto"/>
                <w:w w:val="99"/>
              </w:rPr>
              <w:t>228</w:t>
            </w:r>
          </w:p>
        </w:tc>
        <w:tc>
          <w:tcPr>
            <w:tcW w:w="780" w:type="dxa"/>
            <w:vAlign w:val="bottom"/>
            <w:tcBorders>
              <w:right w:val="single" w:sz="8" w:color="auto"/>
            </w:tcBorders>
          </w:tcPr>
          <w:p>
            <w:pPr>
              <w:jc w:val="center"/>
              <w:spacing w:after="0" w:line="290" w:lineRule="exact"/>
              <w:rPr>
                <w:sz w:val="20"/>
                <w:szCs w:val="20"/>
                <w:color w:val="auto"/>
              </w:rPr>
            </w:pPr>
            <w:r>
              <w:rPr>
                <w:rFonts w:ascii="Times New Roman" w:cs="Times New Roman" w:eastAsia="Times New Roman" w:hAnsi="Times New Roman"/>
                <w:sz w:val="28"/>
                <w:szCs w:val="28"/>
                <w:color w:val="auto"/>
                <w:w w:val="99"/>
              </w:rPr>
              <w:t>228</w:t>
            </w:r>
          </w:p>
        </w:tc>
        <w:tc>
          <w:tcPr>
            <w:tcW w:w="720" w:type="dxa"/>
            <w:vAlign w:val="bottom"/>
            <w:tcBorders>
              <w:right w:val="single" w:sz="8" w:color="auto"/>
            </w:tcBorders>
          </w:tcPr>
          <w:p>
            <w:pPr>
              <w:jc w:val="center"/>
              <w:spacing w:after="0" w:line="290" w:lineRule="exact"/>
              <w:rPr>
                <w:sz w:val="20"/>
                <w:szCs w:val="20"/>
                <w:color w:val="auto"/>
              </w:rPr>
            </w:pPr>
            <w:r>
              <w:rPr>
                <w:rFonts w:ascii="Times New Roman" w:cs="Times New Roman" w:eastAsia="Times New Roman" w:hAnsi="Times New Roman"/>
                <w:sz w:val="28"/>
                <w:szCs w:val="28"/>
                <w:color w:val="auto"/>
                <w:w w:val="99"/>
              </w:rPr>
              <w:t>228</w:t>
            </w:r>
          </w:p>
        </w:tc>
        <w:tc>
          <w:tcPr>
            <w:tcW w:w="840" w:type="dxa"/>
            <w:vAlign w:val="bottom"/>
            <w:tcBorders>
              <w:right w:val="single" w:sz="8" w:color="auto"/>
            </w:tcBorders>
          </w:tcPr>
          <w:p>
            <w:pPr>
              <w:jc w:val="center"/>
              <w:spacing w:after="0" w:line="290" w:lineRule="exact"/>
              <w:rPr>
                <w:sz w:val="20"/>
                <w:szCs w:val="20"/>
                <w:color w:val="auto"/>
              </w:rPr>
            </w:pPr>
            <w:r>
              <w:rPr>
                <w:rFonts w:ascii="Times New Roman" w:cs="Times New Roman" w:eastAsia="Times New Roman" w:hAnsi="Times New Roman"/>
                <w:sz w:val="28"/>
                <w:szCs w:val="28"/>
                <w:color w:val="auto"/>
                <w:w w:val="99"/>
              </w:rPr>
              <w:t>228</w:t>
            </w:r>
          </w:p>
        </w:tc>
        <w:tc>
          <w:tcPr>
            <w:tcW w:w="0" w:type="dxa"/>
            <w:vAlign w:val="bottom"/>
          </w:tcPr>
          <w:p>
            <w:pPr>
              <w:spacing w:after="0"/>
              <w:rPr>
                <w:sz w:val="1"/>
                <w:szCs w:val="1"/>
                <w:color w:val="auto"/>
              </w:rPr>
            </w:pPr>
          </w:p>
        </w:tc>
      </w:tr>
      <w:tr>
        <w:trPr>
          <w:trHeight w:val="343"/>
        </w:trPr>
        <w:tc>
          <w:tcPr>
            <w:tcW w:w="4880" w:type="dxa"/>
            <w:vAlign w:val="bottom"/>
            <w:tcBorders>
              <w:left w:val="single" w:sz="8" w:color="auto"/>
              <w:bottom w:val="single" w:sz="8" w:color="auto"/>
              <w:right w:val="single" w:sz="8" w:color="auto"/>
            </w:tcBorders>
          </w:tcPr>
          <w:p>
            <w:pPr>
              <w:ind w:left="40"/>
              <w:spacing w:after="0"/>
              <w:rPr>
                <w:sz w:val="20"/>
                <w:szCs w:val="20"/>
                <w:color w:val="auto"/>
              </w:rPr>
            </w:pPr>
            <w:r>
              <w:rPr>
                <w:rFonts w:ascii="Times New Roman" w:cs="Times New Roman" w:eastAsia="Times New Roman" w:hAnsi="Times New Roman"/>
                <w:sz w:val="28"/>
                <w:szCs w:val="28"/>
                <w:color w:val="auto"/>
              </w:rPr>
              <w:t>налогообложения</w:t>
            </w:r>
          </w:p>
        </w:tc>
        <w:tc>
          <w:tcPr>
            <w:tcW w:w="760" w:type="dxa"/>
            <w:vAlign w:val="bottom"/>
            <w:tcBorders>
              <w:bottom w:val="single" w:sz="8" w:color="auto"/>
              <w:right w:val="single" w:sz="8" w:color="auto"/>
            </w:tcBorders>
          </w:tcPr>
          <w:p>
            <w:pPr>
              <w:spacing w:after="0"/>
              <w:rPr>
                <w:sz w:val="24"/>
                <w:szCs w:val="24"/>
                <w:color w:val="auto"/>
              </w:rPr>
            </w:pPr>
          </w:p>
        </w:tc>
        <w:tc>
          <w:tcPr>
            <w:tcW w:w="700" w:type="dxa"/>
            <w:vAlign w:val="bottom"/>
            <w:tcBorders>
              <w:bottom w:val="single" w:sz="8" w:color="auto"/>
              <w:right w:val="single" w:sz="8" w:color="auto"/>
            </w:tcBorders>
          </w:tcPr>
          <w:p>
            <w:pPr>
              <w:spacing w:after="0"/>
              <w:rPr>
                <w:sz w:val="24"/>
                <w:szCs w:val="24"/>
                <w:color w:val="auto"/>
              </w:rPr>
            </w:pPr>
          </w:p>
        </w:tc>
        <w:tc>
          <w:tcPr>
            <w:tcW w:w="640" w:type="dxa"/>
            <w:vAlign w:val="bottom"/>
            <w:tcBorders>
              <w:bottom w:val="single" w:sz="8" w:color="auto"/>
              <w:right w:val="single" w:sz="8" w:color="auto"/>
            </w:tcBorders>
          </w:tcPr>
          <w:p>
            <w:pPr>
              <w:spacing w:after="0"/>
              <w:rPr>
                <w:sz w:val="24"/>
                <w:szCs w:val="24"/>
                <w:color w:val="auto"/>
              </w:rPr>
            </w:pPr>
          </w:p>
        </w:tc>
        <w:tc>
          <w:tcPr>
            <w:tcW w:w="780" w:type="dxa"/>
            <w:vAlign w:val="bottom"/>
            <w:tcBorders>
              <w:bottom w:val="single" w:sz="8" w:color="auto"/>
              <w:right w:val="single" w:sz="8" w:color="auto"/>
            </w:tcBorders>
          </w:tcPr>
          <w:p>
            <w:pPr>
              <w:spacing w:after="0"/>
              <w:rPr>
                <w:sz w:val="24"/>
                <w:szCs w:val="24"/>
                <w:color w:val="auto"/>
              </w:rPr>
            </w:pPr>
          </w:p>
        </w:tc>
        <w:tc>
          <w:tcPr>
            <w:tcW w:w="720" w:type="dxa"/>
            <w:vAlign w:val="bottom"/>
            <w:tcBorders>
              <w:bottom w:val="single" w:sz="8" w:color="auto"/>
              <w:right w:val="single" w:sz="8" w:color="auto"/>
            </w:tcBorders>
          </w:tcPr>
          <w:p>
            <w:pPr>
              <w:spacing w:after="0"/>
              <w:rPr>
                <w:sz w:val="24"/>
                <w:szCs w:val="24"/>
                <w:color w:val="auto"/>
              </w:rPr>
            </w:pPr>
          </w:p>
        </w:tc>
        <w:tc>
          <w:tcPr>
            <w:tcW w:w="84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51"/>
        </w:trPr>
        <w:tc>
          <w:tcPr>
            <w:tcW w:w="4880" w:type="dxa"/>
            <w:vAlign w:val="bottom"/>
            <w:tcBorders>
              <w:left w:val="single" w:sz="8" w:color="auto"/>
              <w:bottom w:val="single" w:sz="8" w:color="auto"/>
              <w:right w:val="single" w:sz="8" w:color="auto"/>
            </w:tcBorders>
          </w:tcPr>
          <w:p>
            <w:pPr>
              <w:ind w:left="20"/>
              <w:spacing w:after="0"/>
              <w:rPr>
                <w:sz w:val="20"/>
                <w:szCs w:val="20"/>
                <w:color w:val="auto"/>
              </w:rPr>
            </w:pPr>
            <w:r>
              <w:rPr>
                <w:rFonts w:ascii="Times New Roman" w:cs="Times New Roman" w:eastAsia="Times New Roman" w:hAnsi="Times New Roman"/>
                <w:sz w:val="28"/>
                <w:szCs w:val="28"/>
                <w:color w:val="auto"/>
              </w:rPr>
              <w:t>Стратегические инвестиции</w:t>
            </w:r>
          </w:p>
        </w:tc>
        <w:tc>
          <w:tcPr>
            <w:tcW w:w="76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8"/>
                <w:szCs w:val="28"/>
                <w:color w:val="auto"/>
                <w:w w:val="99"/>
              </w:rPr>
              <w:t>0</w:t>
            </w:r>
          </w:p>
        </w:tc>
        <w:tc>
          <w:tcPr>
            <w:tcW w:w="70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8"/>
                <w:szCs w:val="28"/>
                <w:color w:val="auto"/>
                <w:w w:val="99"/>
              </w:rPr>
              <w:t>100</w:t>
            </w:r>
          </w:p>
        </w:tc>
        <w:tc>
          <w:tcPr>
            <w:tcW w:w="64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8"/>
                <w:szCs w:val="28"/>
                <w:color w:val="auto"/>
              </w:rPr>
              <w:t>-400</w:t>
            </w:r>
          </w:p>
        </w:tc>
        <w:tc>
          <w:tcPr>
            <w:tcW w:w="78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8"/>
                <w:szCs w:val="28"/>
                <w:color w:val="auto"/>
                <w:w w:val="99"/>
              </w:rPr>
              <w:t>0</w:t>
            </w:r>
          </w:p>
        </w:tc>
        <w:tc>
          <w:tcPr>
            <w:tcW w:w="72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8"/>
                <w:szCs w:val="28"/>
                <w:color w:val="auto"/>
                <w:w w:val="99"/>
              </w:rPr>
              <w:t>0</w:t>
            </w:r>
          </w:p>
        </w:tc>
        <w:tc>
          <w:tcPr>
            <w:tcW w:w="84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8"/>
                <w:szCs w:val="28"/>
                <w:color w:val="auto"/>
                <w:w w:val="99"/>
              </w:rPr>
              <w:t>0</w:t>
            </w:r>
          </w:p>
        </w:tc>
        <w:tc>
          <w:tcPr>
            <w:tcW w:w="0" w:type="dxa"/>
            <w:vAlign w:val="bottom"/>
          </w:tcPr>
          <w:p>
            <w:pPr>
              <w:spacing w:after="0"/>
              <w:rPr>
                <w:sz w:val="1"/>
                <w:szCs w:val="1"/>
                <w:color w:val="auto"/>
              </w:rPr>
            </w:pPr>
          </w:p>
        </w:tc>
      </w:tr>
      <w:tr>
        <w:trPr>
          <w:trHeight w:val="334"/>
        </w:trPr>
        <w:tc>
          <w:tcPr>
            <w:tcW w:w="4880" w:type="dxa"/>
            <w:vAlign w:val="bottom"/>
            <w:tcBorders>
              <w:left w:val="single" w:sz="8" w:color="auto"/>
              <w:bottom w:val="single" w:sz="8" w:color="auto"/>
              <w:right w:val="single" w:sz="8" w:color="auto"/>
            </w:tcBorders>
          </w:tcPr>
          <w:p>
            <w:pPr>
              <w:ind w:left="20"/>
              <w:spacing w:after="0"/>
              <w:rPr>
                <w:sz w:val="20"/>
                <w:szCs w:val="20"/>
                <w:color w:val="auto"/>
              </w:rPr>
            </w:pPr>
            <w:r>
              <w:rPr>
                <w:rFonts w:ascii="Times New Roman" w:cs="Times New Roman" w:eastAsia="Times New Roman" w:hAnsi="Times New Roman"/>
                <w:sz w:val="28"/>
                <w:szCs w:val="28"/>
                <w:color w:val="auto"/>
              </w:rPr>
              <w:t>Изменение чистой прибыли (∆ NOPAT)</w:t>
            </w:r>
          </w:p>
        </w:tc>
        <w:tc>
          <w:tcPr>
            <w:tcW w:w="76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8"/>
                <w:szCs w:val="28"/>
                <w:color w:val="auto"/>
                <w:w w:val="99"/>
              </w:rPr>
              <w:t>0</w:t>
            </w:r>
          </w:p>
        </w:tc>
        <w:tc>
          <w:tcPr>
            <w:tcW w:w="70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8"/>
                <w:szCs w:val="28"/>
                <w:color w:val="auto"/>
                <w:w w:val="99"/>
              </w:rPr>
              <w:t>30</w:t>
            </w:r>
          </w:p>
        </w:tc>
        <w:tc>
          <w:tcPr>
            <w:tcW w:w="64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8"/>
                <w:szCs w:val="28"/>
                <w:color w:val="auto"/>
                <w:w w:val="99"/>
              </w:rPr>
              <w:t>46</w:t>
            </w:r>
          </w:p>
        </w:tc>
        <w:tc>
          <w:tcPr>
            <w:tcW w:w="78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8"/>
                <w:szCs w:val="28"/>
                <w:color w:val="auto"/>
                <w:w w:val="99"/>
              </w:rPr>
              <w:t>0</w:t>
            </w:r>
          </w:p>
        </w:tc>
        <w:tc>
          <w:tcPr>
            <w:tcW w:w="72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8"/>
                <w:szCs w:val="28"/>
                <w:color w:val="auto"/>
                <w:w w:val="85"/>
              </w:rPr>
              <w:t>0</w:t>
            </w:r>
          </w:p>
        </w:tc>
        <w:tc>
          <w:tcPr>
            <w:tcW w:w="84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8"/>
                <w:szCs w:val="28"/>
                <w:color w:val="auto"/>
                <w:w w:val="99"/>
              </w:rPr>
              <w:t>0</w:t>
            </w:r>
          </w:p>
        </w:tc>
        <w:tc>
          <w:tcPr>
            <w:tcW w:w="0" w:type="dxa"/>
            <w:vAlign w:val="bottom"/>
          </w:tcPr>
          <w:p>
            <w:pPr>
              <w:spacing w:after="0"/>
              <w:rPr>
                <w:sz w:val="1"/>
                <w:szCs w:val="1"/>
                <w:color w:val="auto"/>
              </w:rPr>
            </w:pPr>
          </w:p>
        </w:tc>
      </w:tr>
      <w:tr>
        <w:trPr>
          <w:trHeight w:val="335"/>
        </w:trPr>
        <w:tc>
          <w:tcPr>
            <w:tcW w:w="4880" w:type="dxa"/>
            <w:vAlign w:val="bottom"/>
            <w:tcBorders>
              <w:left w:val="single" w:sz="8" w:color="auto"/>
              <w:bottom w:val="single" w:sz="8" w:color="auto"/>
              <w:right w:val="single" w:sz="8" w:color="auto"/>
            </w:tcBorders>
          </w:tcPr>
          <w:p>
            <w:pPr>
              <w:ind w:left="20"/>
              <w:spacing w:after="0"/>
              <w:rPr>
                <w:sz w:val="20"/>
                <w:szCs w:val="20"/>
                <w:color w:val="auto"/>
              </w:rPr>
            </w:pPr>
            <w:r>
              <w:rPr>
                <w:rFonts w:ascii="Times New Roman" w:cs="Times New Roman" w:eastAsia="Times New Roman" w:hAnsi="Times New Roman"/>
                <w:sz w:val="28"/>
                <w:szCs w:val="28"/>
                <w:color w:val="auto"/>
              </w:rPr>
              <w:t>Коэффициент текущей стоимости</w:t>
            </w:r>
          </w:p>
        </w:tc>
        <w:tc>
          <w:tcPr>
            <w:tcW w:w="76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8"/>
                <w:szCs w:val="28"/>
                <w:color w:val="auto"/>
                <w:w w:val="97"/>
              </w:rPr>
              <w:t>0,87</w:t>
            </w:r>
          </w:p>
        </w:tc>
        <w:tc>
          <w:tcPr>
            <w:tcW w:w="70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8"/>
                <w:szCs w:val="28"/>
                <w:color w:val="auto"/>
              </w:rPr>
              <w:t>0,76</w:t>
            </w:r>
          </w:p>
        </w:tc>
        <w:tc>
          <w:tcPr>
            <w:tcW w:w="64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8"/>
                <w:szCs w:val="28"/>
                <w:color w:val="auto"/>
                <w:w w:val="97"/>
              </w:rPr>
              <w:t>0,66</w:t>
            </w:r>
          </w:p>
        </w:tc>
        <w:tc>
          <w:tcPr>
            <w:tcW w:w="78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8"/>
                <w:szCs w:val="28"/>
                <w:color w:val="auto"/>
              </w:rPr>
              <w:t>0,57</w:t>
            </w:r>
          </w:p>
        </w:tc>
        <w:tc>
          <w:tcPr>
            <w:tcW w:w="72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8"/>
                <w:szCs w:val="28"/>
                <w:color w:val="auto"/>
                <w:w w:val="97"/>
              </w:rPr>
              <w:t>0,50</w:t>
            </w:r>
          </w:p>
        </w:tc>
        <w:tc>
          <w:tcPr>
            <w:tcW w:w="84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8"/>
                <w:szCs w:val="28"/>
                <w:color w:val="auto"/>
                <w:w w:val="97"/>
              </w:rPr>
              <w:t>0,43</w:t>
            </w:r>
          </w:p>
        </w:tc>
        <w:tc>
          <w:tcPr>
            <w:tcW w:w="0" w:type="dxa"/>
            <w:vAlign w:val="bottom"/>
          </w:tcPr>
          <w:p>
            <w:pPr>
              <w:spacing w:after="0"/>
              <w:rPr>
                <w:sz w:val="1"/>
                <w:szCs w:val="1"/>
                <w:color w:val="auto"/>
              </w:rPr>
            </w:pPr>
          </w:p>
        </w:tc>
      </w:tr>
      <w:tr>
        <w:trPr>
          <w:trHeight w:val="291"/>
        </w:trPr>
        <w:tc>
          <w:tcPr>
            <w:tcW w:w="4880" w:type="dxa"/>
            <w:vAlign w:val="bottom"/>
            <w:tcBorders>
              <w:left w:val="single" w:sz="8" w:color="auto"/>
              <w:right w:val="single" w:sz="8" w:color="auto"/>
            </w:tcBorders>
          </w:tcPr>
          <w:p>
            <w:pPr>
              <w:ind w:left="20"/>
              <w:spacing w:after="0" w:line="290" w:lineRule="exact"/>
              <w:rPr>
                <w:sz w:val="20"/>
                <w:szCs w:val="20"/>
                <w:color w:val="auto"/>
              </w:rPr>
            </w:pPr>
            <w:r>
              <w:rPr>
                <w:rFonts w:ascii="Times New Roman" w:cs="Times New Roman" w:eastAsia="Times New Roman" w:hAnsi="Times New Roman"/>
                <w:sz w:val="28"/>
                <w:szCs w:val="28"/>
                <w:color w:val="auto"/>
              </w:rPr>
              <w:t>Текущая стоимость стратегических</w:t>
            </w:r>
          </w:p>
        </w:tc>
        <w:tc>
          <w:tcPr>
            <w:tcW w:w="760" w:type="dxa"/>
            <w:vAlign w:val="bottom"/>
            <w:tcBorders>
              <w:right w:val="single" w:sz="8" w:color="auto"/>
            </w:tcBorders>
          </w:tcPr>
          <w:p>
            <w:pPr>
              <w:jc w:val="center"/>
              <w:spacing w:after="0" w:line="290" w:lineRule="exact"/>
              <w:rPr>
                <w:sz w:val="20"/>
                <w:szCs w:val="20"/>
                <w:color w:val="auto"/>
              </w:rPr>
            </w:pPr>
            <w:r>
              <w:rPr>
                <w:rFonts w:ascii="Times New Roman" w:cs="Times New Roman" w:eastAsia="Times New Roman" w:hAnsi="Times New Roman"/>
                <w:sz w:val="28"/>
                <w:szCs w:val="28"/>
                <w:color w:val="auto"/>
                <w:w w:val="99"/>
              </w:rPr>
              <w:t>0</w:t>
            </w:r>
          </w:p>
        </w:tc>
        <w:tc>
          <w:tcPr>
            <w:tcW w:w="700" w:type="dxa"/>
            <w:vAlign w:val="bottom"/>
            <w:tcBorders>
              <w:right w:val="single" w:sz="8" w:color="auto"/>
            </w:tcBorders>
          </w:tcPr>
          <w:p>
            <w:pPr>
              <w:jc w:val="center"/>
              <w:spacing w:after="0" w:line="290" w:lineRule="exact"/>
              <w:rPr>
                <w:sz w:val="20"/>
                <w:szCs w:val="20"/>
                <w:color w:val="auto"/>
              </w:rPr>
            </w:pPr>
            <w:r>
              <w:rPr>
                <w:rFonts w:ascii="Times New Roman" w:cs="Times New Roman" w:eastAsia="Times New Roman" w:hAnsi="Times New Roman"/>
                <w:sz w:val="28"/>
                <w:szCs w:val="28"/>
                <w:color w:val="auto"/>
                <w:w w:val="99"/>
              </w:rPr>
              <w:t>76</w:t>
            </w:r>
          </w:p>
        </w:tc>
        <w:tc>
          <w:tcPr>
            <w:tcW w:w="640" w:type="dxa"/>
            <w:vAlign w:val="bottom"/>
            <w:tcBorders>
              <w:right w:val="single" w:sz="8" w:color="auto"/>
            </w:tcBorders>
          </w:tcPr>
          <w:p>
            <w:pPr>
              <w:jc w:val="center"/>
              <w:spacing w:after="0" w:line="290" w:lineRule="exact"/>
              <w:rPr>
                <w:sz w:val="20"/>
                <w:szCs w:val="20"/>
                <w:color w:val="auto"/>
              </w:rPr>
            </w:pPr>
            <w:r>
              <w:rPr>
                <w:rFonts w:ascii="Times New Roman" w:cs="Times New Roman" w:eastAsia="Times New Roman" w:hAnsi="Times New Roman"/>
                <w:sz w:val="28"/>
                <w:szCs w:val="28"/>
                <w:color w:val="auto"/>
              </w:rPr>
              <w:t>-263</w:t>
            </w:r>
          </w:p>
        </w:tc>
        <w:tc>
          <w:tcPr>
            <w:tcW w:w="780" w:type="dxa"/>
            <w:vAlign w:val="bottom"/>
            <w:tcBorders>
              <w:right w:val="single" w:sz="8" w:color="auto"/>
            </w:tcBorders>
          </w:tcPr>
          <w:p>
            <w:pPr>
              <w:jc w:val="center"/>
              <w:spacing w:after="0" w:line="290" w:lineRule="exact"/>
              <w:rPr>
                <w:sz w:val="20"/>
                <w:szCs w:val="20"/>
                <w:color w:val="auto"/>
              </w:rPr>
            </w:pPr>
            <w:r>
              <w:rPr>
                <w:rFonts w:ascii="Times New Roman" w:cs="Times New Roman" w:eastAsia="Times New Roman" w:hAnsi="Times New Roman"/>
                <w:sz w:val="28"/>
                <w:szCs w:val="28"/>
                <w:color w:val="auto"/>
                <w:w w:val="99"/>
              </w:rPr>
              <w:t>0</w:t>
            </w:r>
          </w:p>
        </w:tc>
        <w:tc>
          <w:tcPr>
            <w:tcW w:w="720" w:type="dxa"/>
            <w:vAlign w:val="bottom"/>
            <w:tcBorders>
              <w:right w:val="single" w:sz="8" w:color="auto"/>
            </w:tcBorders>
          </w:tcPr>
          <w:p>
            <w:pPr>
              <w:jc w:val="center"/>
              <w:spacing w:after="0" w:line="290" w:lineRule="exact"/>
              <w:rPr>
                <w:sz w:val="20"/>
                <w:szCs w:val="20"/>
                <w:color w:val="auto"/>
              </w:rPr>
            </w:pPr>
            <w:r>
              <w:rPr>
                <w:rFonts w:ascii="Times New Roman" w:cs="Times New Roman" w:eastAsia="Times New Roman" w:hAnsi="Times New Roman"/>
                <w:sz w:val="28"/>
                <w:szCs w:val="28"/>
                <w:color w:val="auto"/>
                <w:w w:val="99"/>
              </w:rPr>
              <w:t>0</w:t>
            </w:r>
          </w:p>
        </w:tc>
        <w:tc>
          <w:tcPr>
            <w:tcW w:w="840" w:type="dxa"/>
            <w:vAlign w:val="bottom"/>
            <w:tcBorders>
              <w:right w:val="single" w:sz="8" w:color="auto"/>
            </w:tcBorders>
          </w:tcPr>
          <w:p>
            <w:pPr>
              <w:jc w:val="center"/>
              <w:spacing w:after="0" w:line="290" w:lineRule="exact"/>
              <w:rPr>
                <w:sz w:val="20"/>
                <w:szCs w:val="20"/>
                <w:color w:val="auto"/>
              </w:rPr>
            </w:pPr>
            <w:r>
              <w:rPr>
                <w:rFonts w:ascii="Times New Roman" w:cs="Times New Roman" w:eastAsia="Times New Roman" w:hAnsi="Times New Roman"/>
                <w:sz w:val="28"/>
                <w:szCs w:val="28"/>
                <w:color w:val="auto"/>
                <w:w w:val="99"/>
              </w:rPr>
              <w:t>0</w:t>
            </w:r>
          </w:p>
        </w:tc>
        <w:tc>
          <w:tcPr>
            <w:tcW w:w="0" w:type="dxa"/>
            <w:vAlign w:val="bottom"/>
          </w:tcPr>
          <w:p>
            <w:pPr>
              <w:spacing w:after="0"/>
              <w:rPr>
                <w:sz w:val="1"/>
                <w:szCs w:val="1"/>
                <w:color w:val="auto"/>
              </w:rPr>
            </w:pPr>
          </w:p>
        </w:tc>
      </w:tr>
      <w:tr>
        <w:trPr>
          <w:trHeight w:val="343"/>
        </w:trPr>
        <w:tc>
          <w:tcPr>
            <w:tcW w:w="4880" w:type="dxa"/>
            <w:vAlign w:val="bottom"/>
            <w:tcBorders>
              <w:left w:val="single" w:sz="8" w:color="auto"/>
              <w:bottom w:val="single" w:sz="8" w:color="auto"/>
              <w:right w:val="single" w:sz="8" w:color="auto"/>
            </w:tcBorders>
          </w:tcPr>
          <w:p>
            <w:pPr>
              <w:ind w:left="40"/>
              <w:spacing w:after="0"/>
              <w:rPr>
                <w:sz w:val="20"/>
                <w:szCs w:val="20"/>
                <w:color w:val="auto"/>
              </w:rPr>
            </w:pPr>
            <w:r>
              <w:rPr>
                <w:rFonts w:ascii="Times New Roman" w:cs="Times New Roman" w:eastAsia="Times New Roman" w:hAnsi="Times New Roman"/>
                <w:sz w:val="28"/>
                <w:szCs w:val="28"/>
                <w:color w:val="auto"/>
              </w:rPr>
              <w:t>инвестиций</w:t>
            </w:r>
          </w:p>
        </w:tc>
        <w:tc>
          <w:tcPr>
            <w:tcW w:w="760" w:type="dxa"/>
            <w:vAlign w:val="bottom"/>
            <w:tcBorders>
              <w:bottom w:val="single" w:sz="8" w:color="auto"/>
              <w:right w:val="single" w:sz="8" w:color="auto"/>
            </w:tcBorders>
          </w:tcPr>
          <w:p>
            <w:pPr>
              <w:spacing w:after="0"/>
              <w:rPr>
                <w:sz w:val="24"/>
                <w:szCs w:val="24"/>
                <w:color w:val="auto"/>
              </w:rPr>
            </w:pPr>
          </w:p>
        </w:tc>
        <w:tc>
          <w:tcPr>
            <w:tcW w:w="700" w:type="dxa"/>
            <w:vAlign w:val="bottom"/>
            <w:tcBorders>
              <w:bottom w:val="single" w:sz="8" w:color="auto"/>
              <w:right w:val="single" w:sz="8" w:color="auto"/>
            </w:tcBorders>
          </w:tcPr>
          <w:p>
            <w:pPr>
              <w:spacing w:after="0"/>
              <w:rPr>
                <w:sz w:val="24"/>
                <w:szCs w:val="24"/>
                <w:color w:val="auto"/>
              </w:rPr>
            </w:pPr>
          </w:p>
        </w:tc>
        <w:tc>
          <w:tcPr>
            <w:tcW w:w="640" w:type="dxa"/>
            <w:vAlign w:val="bottom"/>
            <w:tcBorders>
              <w:bottom w:val="single" w:sz="8" w:color="auto"/>
              <w:right w:val="single" w:sz="8" w:color="auto"/>
            </w:tcBorders>
          </w:tcPr>
          <w:p>
            <w:pPr>
              <w:spacing w:after="0"/>
              <w:rPr>
                <w:sz w:val="24"/>
                <w:szCs w:val="24"/>
                <w:color w:val="auto"/>
              </w:rPr>
            </w:pPr>
          </w:p>
        </w:tc>
        <w:tc>
          <w:tcPr>
            <w:tcW w:w="780" w:type="dxa"/>
            <w:vAlign w:val="bottom"/>
            <w:tcBorders>
              <w:bottom w:val="single" w:sz="8" w:color="auto"/>
              <w:right w:val="single" w:sz="8" w:color="auto"/>
            </w:tcBorders>
          </w:tcPr>
          <w:p>
            <w:pPr>
              <w:spacing w:after="0"/>
              <w:rPr>
                <w:sz w:val="24"/>
                <w:szCs w:val="24"/>
                <w:color w:val="auto"/>
              </w:rPr>
            </w:pPr>
          </w:p>
        </w:tc>
        <w:tc>
          <w:tcPr>
            <w:tcW w:w="720" w:type="dxa"/>
            <w:vAlign w:val="bottom"/>
            <w:tcBorders>
              <w:bottom w:val="single" w:sz="8" w:color="auto"/>
              <w:right w:val="single" w:sz="8" w:color="auto"/>
            </w:tcBorders>
          </w:tcPr>
          <w:p>
            <w:pPr>
              <w:spacing w:after="0"/>
              <w:rPr>
                <w:sz w:val="24"/>
                <w:szCs w:val="24"/>
                <w:color w:val="auto"/>
              </w:rPr>
            </w:pPr>
          </w:p>
        </w:tc>
        <w:tc>
          <w:tcPr>
            <w:tcW w:w="84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91"/>
        </w:trPr>
        <w:tc>
          <w:tcPr>
            <w:tcW w:w="4880" w:type="dxa"/>
            <w:vAlign w:val="bottom"/>
            <w:tcBorders>
              <w:left w:val="single" w:sz="8" w:color="auto"/>
              <w:right w:val="single" w:sz="8" w:color="auto"/>
            </w:tcBorders>
          </w:tcPr>
          <w:p>
            <w:pPr>
              <w:ind w:left="20"/>
              <w:spacing w:after="0" w:line="290" w:lineRule="exact"/>
              <w:rPr>
                <w:sz w:val="20"/>
                <w:szCs w:val="20"/>
                <w:color w:val="auto"/>
              </w:rPr>
            </w:pPr>
            <w:r>
              <w:rPr>
                <w:rFonts w:ascii="Times New Roman" w:cs="Times New Roman" w:eastAsia="Times New Roman" w:hAnsi="Times New Roman"/>
                <w:sz w:val="28"/>
                <w:szCs w:val="28"/>
                <w:color w:val="auto"/>
              </w:rPr>
              <w:t>Остаточная стоимость (капитализация</w:t>
            </w:r>
          </w:p>
        </w:tc>
        <w:tc>
          <w:tcPr>
            <w:tcW w:w="760" w:type="dxa"/>
            <w:vAlign w:val="bottom"/>
            <w:tcBorders>
              <w:right w:val="single" w:sz="8" w:color="auto"/>
            </w:tcBorders>
          </w:tcPr>
          <w:p>
            <w:pPr>
              <w:jc w:val="center"/>
              <w:spacing w:after="0" w:line="290" w:lineRule="exact"/>
              <w:rPr>
                <w:sz w:val="20"/>
                <w:szCs w:val="20"/>
                <w:color w:val="auto"/>
              </w:rPr>
            </w:pPr>
            <w:r>
              <w:rPr>
                <w:rFonts w:ascii="Times New Roman" w:cs="Times New Roman" w:eastAsia="Times New Roman" w:hAnsi="Times New Roman"/>
                <w:sz w:val="28"/>
                <w:szCs w:val="28"/>
                <w:color w:val="auto"/>
                <w:w w:val="99"/>
              </w:rPr>
              <w:t>0</w:t>
            </w:r>
          </w:p>
        </w:tc>
        <w:tc>
          <w:tcPr>
            <w:tcW w:w="700" w:type="dxa"/>
            <w:vAlign w:val="bottom"/>
            <w:tcBorders>
              <w:right w:val="single" w:sz="8" w:color="auto"/>
            </w:tcBorders>
          </w:tcPr>
          <w:p>
            <w:pPr>
              <w:jc w:val="center"/>
              <w:spacing w:after="0" w:line="290" w:lineRule="exact"/>
              <w:rPr>
                <w:sz w:val="20"/>
                <w:szCs w:val="20"/>
                <w:color w:val="auto"/>
              </w:rPr>
            </w:pPr>
            <w:r>
              <w:rPr>
                <w:rFonts w:ascii="Times New Roman" w:cs="Times New Roman" w:eastAsia="Times New Roman" w:hAnsi="Times New Roman"/>
                <w:sz w:val="28"/>
                <w:szCs w:val="28"/>
                <w:color w:val="auto"/>
                <w:w w:val="99"/>
              </w:rPr>
              <w:t>203</w:t>
            </w:r>
          </w:p>
        </w:tc>
        <w:tc>
          <w:tcPr>
            <w:tcW w:w="640" w:type="dxa"/>
            <w:vAlign w:val="bottom"/>
            <w:tcBorders>
              <w:right w:val="single" w:sz="8" w:color="auto"/>
            </w:tcBorders>
          </w:tcPr>
          <w:p>
            <w:pPr>
              <w:jc w:val="center"/>
              <w:spacing w:after="0" w:line="290" w:lineRule="exact"/>
              <w:rPr>
                <w:sz w:val="20"/>
                <w:szCs w:val="20"/>
                <w:color w:val="auto"/>
              </w:rPr>
            </w:pPr>
            <w:r>
              <w:rPr>
                <w:rFonts w:ascii="Times New Roman" w:cs="Times New Roman" w:eastAsia="Times New Roman" w:hAnsi="Times New Roman"/>
                <w:sz w:val="28"/>
                <w:szCs w:val="28"/>
                <w:color w:val="auto"/>
                <w:w w:val="99"/>
              </w:rPr>
              <w:t>304</w:t>
            </w:r>
          </w:p>
        </w:tc>
        <w:tc>
          <w:tcPr>
            <w:tcW w:w="780" w:type="dxa"/>
            <w:vAlign w:val="bottom"/>
            <w:tcBorders>
              <w:right w:val="single" w:sz="8" w:color="auto"/>
            </w:tcBorders>
          </w:tcPr>
          <w:p>
            <w:pPr>
              <w:jc w:val="center"/>
              <w:spacing w:after="0" w:line="290" w:lineRule="exact"/>
              <w:rPr>
                <w:sz w:val="20"/>
                <w:szCs w:val="20"/>
                <w:color w:val="auto"/>
              </w:rPr>
            </w:pPr>
            <w:r>
              <w:rPr>
                <w:rFonts w:ascii="Times New Roman" w:cs="Times New Roman" w:eastAsia="Times New Roman" w:hAnsi="Times New Roman"/>
                <w:sz w:val="28"/>
                <w:szCs w:val="28"/>
                <w:color w:val="auto"/>
                <w:w w:val="99"/>
              </w:rPr>
              <w:t>0</w:t>
            </w:r>
          </w:p>
        </w:tc>
        <w:tc>
          <w:tcPr>
            <w:tcW w:w="720" w:type="dxa"/>
            <w:vAlign w:val="bottom"/>
            <w:tcBorders>
              <w:right w:val="single" w:sz="8" w:color="auto"/>
            </w:tcBorders>
          </w:tcPr>
          <w:p>
            <w:pPr>
              <w:jc w:val="center"/>
              <w:spacing w:after="0" w:line="290" w:lineRule="exact"/>
              <w:rPr>
                <w:sz w:val="20"/>
                <w:szCs w:val="20"/>
                <w:color w:val="auto"/>
              </w:rPr>
            </w:pPr>
            <w:r>
              <w:rPr>
                <w:rFonts w:ascii="Times New Roman" w:cs="Times New Roman" w:eastAsia="Times New Roman" w:hAnsi="Times New Roman"/>
                <w:sz w:val="28"/>
                <w:szCs w:val="28"/>
                <w:color w:val="auto"/>
                <w:w w:val="99"/>
              </w:rPr>
              <w:t>0</w:t>
            </w:r>
          </w:p>
        </w:tc>
        <w:tc>
          <w:tcPr>
            <w:tcW w:w="840" w:type="dxa"/>
            <w:vAlign w:val="bottom"/>
            <w:tcBorders>
              <w:right w:val="single" w:sz="8" w:color="auto"/>
            </w:tcBorders>
          </w:tcPr>
          <w:p>
            <w:pPr>
              <w:jc w:val="center"/>
              <w:spacing w:after="0" w:line="290" w:lineRule="exact"/>
              <w:rPr>
                <w:sz w:val="20"/>
                <w:szCs w:val="20"/>
                <w:color w:val="auto"/>
              </w:rPr>
            </w:pPr>
            <w:r>
              <w:rPr>
                <w:rFonts w:ascii="Times New Roman" w:cs="Times New Roman" w:eastAsia="Times New Roman" w:hAnsi="Times New Roman"/>
                <w:sz w:val="28"/>
                <w:szCs w:val="28"/>
                <w:color w:val="auto"/>
                <w:w w:val="99"/>
              </w:rPr>
              <w:t>0</w:t>
            </w:r>
          </w:p>
        </w:tc>
        <w:tc>
          <w:tcPr>
            <w:tcW w:w="0" w:type="dxa"/>
            <w:vAlign w:val="bottom"/>
          </w:tcPr>
          <w:p>
            <w:pPr>
              <w:spacing w:after="0"/>
              <w:rPr>
                <w:sz w:val="1"/>
                <w:szCs w:val="1"/>
                <w:color w:val="auto"/>
              </w:rPr>
            </w:pPr>
          </w:p>
        </w:tc>
      </w:tr>
      <w:tr>
        <w:trPr>
          <w:trHeight w:val="364"/>
        </w:trPr>
        <w:tc>
          <w:tcPr>
            <w:tcW w:w="4880" w:type="dxa"/>
            <w:vAlign w:val="bottom"/>
            <w:tcBorders>
              <w:left w:val="single" w:sz="8" w:color="auto"/>
              <w:right w:val="single" w:sz="8" w:color="auto"/>
            </w:tcBorders>
          </w:tcPr>
          <w:p>
            <w:pPr>
              <w:ind w:left="40"/>
              <w:spacing w:after="0"/>
              <w:rPr>
                <w:sz w:val="20"/>
                <w:szCs w:val="20"/>
                <w:color w:val="auto"/>
              </w:rPr>
            </w:pPr>
            <w:r>
              <w:rPr>
                <w:rFonts w:ascii="Times New Roman" w:cs="Times New Roman" w:eastAsia="Times New Roman" w:hAnsi="Times New Roman"/>
                <w:sz w:val="28"/>
                <w:szCs w:val="28"/>
                <w:color w:val="auto"/>
              </w:rPr>
              <w:t>изменения NOPAT)</w:t>
            </w:r>
          </w:p>
        </w:tc>
        <w:tc>
          <w:tcPr>
            <w:tcW w:w="760" w:type="dxa"/>
            <w:vAlign w:val="bottom"/>
            <w:tcBorders>
              <w:right w:val="single" w:sz="8" w:color="auto"/>
            </w:tcBorders>
          </w:tcPr>
          <w:p>
            <w:pPr>
              <w:spacing w:after="0"/>
              <w:rPr>
                <w:sz w:val="24"/>
                <w:szCs w:val="24"/>
                <w:color w:val="auto"/>
              </w:rPr>
            </w:pPr>
          </w:p>
        </w:tc>
        <w:tc>
          <w:tcPr>
            <w:tcW w:w="700" w:type="dxa"/>
            <w:vAlign w:val="bottom"/>
            <w:tcBorders>
              <w:right w:val="single" w:sz="8" w:color="auto"/>
            </w:tcBorders>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780" w:type="dxa"/>
            <w:vAlign w:val="bottom"/>
            <w:tcBorders>
              <w:right w:val="single" w:sz="8" w:color="auto"/>
            </w:tcBorders>
          </w:tcPr>
          <w:p>
            <w:pPr>
              <w:spacing w:after="0"/>
              <w:rPr>
                <w:sz w:val="24"/>
                <w:szCs w:val="24"/>
                <w:color w:val="auto"/>
              </w:rPr>
            </w:pPr>
          </w:p>
        </w:tc>
        <w:tc>
          <w:tcPr>
            <w:tcW w:w="720" w:type="dxa"/>
            <w:vAlign w:val="bottom"/>
            <w:tcBorders>
              <w:right w:val="single" w:sz="8" w:color="auto"/>
            </w:tcBorders>
          </w:tcPr>
          <w:p>
            <w:pPr>
              <w:spacing w:after="0"/>
              <w:rPr>
                <w:sz w:val="24"/>
                <w:szCs w:val="24"/>
                <w:color w:val="auto"/>
              </w:rPr>
            </w:pPr>
          </w:p>
        </w:tc>
        <w:tc>
          <w:tcPr>
            <w:tcW w:w="84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6"/>
        </w:trPr>
        <w:tc>
          <w:tcPr>
            <w:tcW w:w="4880" w:type="dxa"/>
            <w:vAlign w:val="bottom"/>
            <w:tcBorders>
              <w:left w:val="single" w:sz="8" w:color="auto"/>
              <w:bottom w:val="single" w:sz="8" w:color="auto"/>
              <w:right w:val="single" w:sz="8" w:color="auto"/>
            </w:tcBorders>
          </w:tcPr>
          <w:p>
            <w:pPr>
              <w:spacing w:after="0"/>
              <w:rPr>
                <w:sz w:val="2"/>
                <w:szCs w:val="2"/>
                <w:color w:val="auto"/>
              </w:rPr>
            </w:pPr>
          </w:p>
        </w:tc>
        <w:tc>
          <w:tcPr>
            <w:tcW w:w="760" w:type="dxa"/>
            <w:vAlign w:val="bottom"/>
            <w:tcBorders>
              <w:bottom w:val="single" w:sz="8" w:color="auto"/>
              <w:right w:val="single" w:sz="8" w:color="auto"/>
            </w:tcBorders>
          </w:tcPr>
          <w:p>
            <w:pPr>
              <w:spacing w:after="0"/>
              <w:rPr>
                <w:sz w:val="2"/>
                <w:szCs w:val="2"/>
                <w:color w:val="auto"/>
              </w:rPr>
            </w:pPr>
          </w:p>
        </w:tc>
        <w:tc>
          <w:tcPr>
            <w:tcW w:w="700" w:type="dxa"/>
            <w:vAlign w:val="bottom"/>
            <w:tcBorders>
              <w:bottom w:val="single" w:sz="8" w:color="auto"/>
              <w:right w:val="single" w:sz="8" w:color="auto"/>
            </w:tcBorders>
          </w:tcPr>
          <w:p>
            <w:pPr>
              <w:spacing w:after="0"/>
              <w:rPr>
                <w:sz w:val="2"/>
                <w:szCs w:val="2"/>
                <w:color w:val="auto"/>
              </w:rPr>
            </w:pPr>
          </w:p>
        </w:tc>
        <w:tc>
          <w:tcPr>
            <w:tcW w:w="640" w:type="dxa"/>
            <w:vAlign w:val="bottom"/>
            <w:tcBorders>
              <w:bottom w:val="single" w:sz="8" w:color="auto"/>
              <w:right w:val="single" w:sz="8" w:color="auto"/>
            </w:tcBorders>
          </w:tcPr>
          <w:p>
            <w:pPr>
              <w:spacing w:after="0"/>
              <w:rPr>
                <w:sz w:val="2"/>
                <w:szCs w:val="2"/>
                <w:color w:val="auto"/>
              </w:rPr>
            </w:pPr>
          </w:p>
        </w:tc>
        <w:tc>
          <w:tcPr>
            <w:tcW w:w="780" w:type="dxa"/>
            <w:vAlign w:val="bottom"/>
            <w:tcBorders>
              <w:bottom w:val="single" w:sz="8" w:color="auto"/>
              <w:right w:val="single" w:sz="8" w:color="auto"/>
            </w:tcBorders>
          </w:tcPr>
          <w:p>
            <w:pPr>
              <w:spacing w:after="0"/>
              <w:rPr>
                <w:sz w:val="2"/>
                <w:szCs w:val="2"/>
                <w:color w:val="auto"/>
              </w:rPr>
            </w:pPr>
          </w:p>
        </w:tc>
        <w:tc>
          <w:tcPr>
            <w:tcW w:w="720" w:type="dxa"/>
            <w:vAlign w:val="bottom"/>
            <w:tcBorders>
              <w:bottom w:val="single" w:sz="8" w:color="auto"/>
              <w:right w:val="single" w:sz="8" w:color="auto"/>
            </w:tcBorders>
          </w:tcPr>
          <w:p>
            <w:pPr>
              <w:spacing w:after="0"/>
              <w:rPr>
                <w:sz w:val="2"/>
                <w:szCs w:val="2"/>
                <w:color w:val="auto"/>
              </w:rPr>
            </w:pPr>
          </w:p>
        </w:tc>
        <w:tc>
          <w:tcPr>
            <w:tcW w:w="840" w:type="dxa"/>
            <w:vAlign w:val="bottom"/>
            <w:tcBorders>
              <w:bottom w:val="single" w:sz="8" w:color="auto"/>
              <w:right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90"/>
        </w:trPr>
        <w:tc>
          <w:tcPr>
            <w:tcW w:w="4880" w:type="dxa"/>
            <w:vAlign w:val="bottom"/>
            <w:tcBorders>
              <w:left w:val="single" w:sz="8" w:color="auto"/>
              <w:right w:val="single" w:sz="8" w:color="auto"/>
            </w:tcBorders>
          </w:tcPr>
          <w:p>
            <w:pPr>
              <w:ind w:left="20"/>
              <w:spacing w:after="0" w:line="289" w:lineRule="exact"/>
              <w:rPr>
                <w:sz w:val="20"/>
                <w:szCs w:val="20"/>
                <w:color w:val="auto"/>
              </w:rPr>
            </w:pPr>
            <w:r>
              <w:rPr>
                <w:rFonts w:ascii="Times New Roman" w:cs="Times New Roman" w:eastAsia="Times New Roman" w:hAnsi="Times New Roman"/>
                <w:sz w:val="28"/>
                <w:szCs w:val="28"/>
                <w:color w:val="auto"/>
              </w:rPr>
              <w:t>Текущая стоимость остаточной</w:t>
            </w:r>
          </w:p>
        </w:tc>
        <w:tc>
          <w:tcPr>
            <w:tcW w:w="760" w:type="dxa"/>
            <w:vAlign w:val="bottom"/>
            <w:tcBorders>
              <w:right w:val="single" w:sz="8" w:color="auto"/>
            </w:tcBorders>
          </w:tcPr>
          <w:p>
            <w:pPr>
              <w:jc w:val="center"/>
              <w:spacing w:after="0" w:line="289" w:lineRule="exact"/>
              <w:rPr>
                <w:sz w:val="20"/>
                <w:szCs w:val="20"/>
                <w:color w:val="auto"/>
              </w:rPr>
            </w:pPr>
            <w:r>
              <w:rPr>
                <w:rFonts w:ascii="Times New Roman" w:cs="Times New Roman" w:eastAsia="Times New Roman" w:hAnsi="Times New Roman"/>
                <w:sz w:val="28"/>
                <w:szCs w:val="28"/>
                <w:color w:val="auto"/>
                <w:w w:val="99"/>
              </w:rPr>
              <w:t>0</w:t>
            </w:r>
          </w:p>
        </w:tc>
        <w:tc>
          <w:tcPr>
            <w:tcW w:w="700" w:type="dxa"/>
            <w:vAlign w:val="bottom"/>
            <w:tcBorders>
              <w:right w:val="single" w:sz="8" w:color="auto"/>
            </w:tcBorders>
          </w:tcPr>
          <w:p>
            <w:pPr>
              <w:jc w:val="center"/>
              <w:spacing w:after="0" w:line="289" w:lineRule="exact"/>
              <w:rPr>
                <w:sz w:val="20"/>
                <w:szCs w:val="20"/>
                <w:color w:val="auto"/>
              </w:rPr>
            </w:pPr>
            <w:r>
              <w:rPr>
                <w:rFonts w:ascii="Times New Roman" w:cs="Times New Roman" w:eastAsia="Times New Roman" w:hAnsi="Times New Roman"/>
                <w:sz w:val="28"/>
                <w:szCs w:val="28"/>
                <w:color w:val="auto"/>
                <w:w w:val="99"/>
              </w:rPr>
              <w:t>176</w:t>
            </w:r>
          </w:p>
        </w:tc>
        <w:tc>
          <w:tcPr>
            <w:tcW w:w="640" w:type="dxa"/>
            <w:vAlign w:val="bottom"/>
            <w:tcBorders>
              <w:right w:val="single" w:sz="8" w:color="auto"/>
            </w:tcBorders>
          </w:tcPr>
          <w:p>
            <w:pPr>
              <w:jc w:val="center"/>
              <w:spacing w:after="0" w:line="289" w:lineRule="exact"/>
              <w:rPr>
                <w:sz w:val="20"/>
                <w:szCs w:val="20"/>
                <w:color w:val="auto"/>
              </w:rPr>
            </w:pPr>
            <w:r>
              <w:rPr>
                <w:rFonts w:ascii="Times New Roman" w:cs="Times New Roman" w:eastAsia="Times New Roman" w:hAnsi="Times New Roman"/>
                <w:sz w:val="28"/>
                <w:szCs w:val="28"/>
                <w:color w:val="auto"/>
                <w:w w:val="99"/>
              </w:rPr>
              <w:t>230</w:t>
            </w:r>
          </w:p>
        </w:tc>
        <w:tc>
          <w:tcPr>
            <w:tcW w:w="780" w:type="dxa"/>
            <w:vAlign w:val="bottom"/>
            <w:tcBorders>
              <w:right w:val="single" w:sz="8" w:color="auto"/>
            </w:tcBorders>
          </w:tcPr>
          <w:p>
            <w:pPr>
              <w:jc w:val="center"/>
              <w:spacing w:after="0" w:line="289" w:lineRule="exact"/>
              <w:rPr>
                <w:sz w:val="20"/>
                <w:szCs w:val="20"/>
                <w:color w:val="auto"/>
              </w:rPr>
            </w:pPr>
            <w:r>
              <w:rPr>
                <w:rFonts w:ascii="Times New Roman" w:cs="Times New Roman" w:eastAsia="Times New Roman" w:hAnsi="Times New Roman"/>
                <w:sz w:val="28"/>
                <w:szCs w:val="28"/>
                <w:color w:val="auto"/>
                <w:w w:val="99"/>
              </w:rPr>
              <w:t>0</w:t>
            </w:r>
          </w:p>
        </w:tc>
        <w:tc>
          <w:tcPr>
            <w:tcW w:w="720" w:type="dxa"/>
            <w:vAlign w:val="bottom"/>
            <w:tcBorders>
              <w:right w:val="single" w:sz="8" w:color="auto"/>
            </w:tcBorders>
          </w:tcPr>
          <w:p>
            <w:pPr>
              <w:jc w:val="center"/>
              <w:spacing w:after="0" w:line="289" w:lineRule="exact"/>
              <w:rPr>
                <w:sz w:val="20"/>
                <w:szCs w:val="20"/>
                <w:color w:val="auto"/>
              </w:rPr>
            </w:pPr>
            <w:r>
              <w:rPr>
                <w:rFonts w:ascii="Times New Roman" w:cs="Times New Roman" w:eastAsia="Times New Roman" w:hAnsi="Times New Roman"/>
                <w:sz w:val="28"/>
                <w:szCs w:val="28"/>
                <w:color w:val="auto"/>
                <w:w w:val="99"/>
              </w:rPr>
              <w:t>0</w:t>
            </w:r>
          </w:p>
        </w:tc>
        <w:tc>
          <w:tcPr>
            <w:tcW w:w="840" w:type="dxa"/>
            <w:vAlign w:val="bottom"/>
            <w:tcBorders>
              <w:right w:val="single" w:sz="8" w:color="auto"/>
            </w:tcBorders>
          </w:tcPr>
          <w:p>
            <w:pPr>
              <w:jc w:val="center"/>
              <w:spacing w:after="0" w:line="289" w:lineRule="exact"/>
              <w:rPr>
                <w:sz w:val="20"/>
                <w:szCs w:val="20"/>
                <w:color w:val="auto"/>
              </w:rPr>
            </w:pPr>
            <w:r>
              <w:rPr>
                <w:rFonts w:ascii="Times New Roman" w:cs="Times New Roman" w:eastAsia="Times New Roman" w:hAnsi="Times New Roman"/>
                <w:sz w:val="28"/>
                <w:szCs w:val="28"/>
                <w:color w:val="auto"/>
                <w:w w:val="99"/>
              </w:rPr>
              <w:t>0</w:t>
            </w:r>
          </w:p>
        </w:tc>
        <w:tc>
          <w:tcPr>
            <w:tcW w:w="0" w:type="dxa"/>
            <w:vAlign w:val="bottom"/>
          </w:tcPr>
          <w:p>
            <w:pPr>
              <w:spacing w:after="0"/>
              <w:rPr>
                <w:sz w:val="1"/>
                <w:szCs w:val="1"/>
                <w:color w:val="auto"/>
              </w:rPr>
            </w:pPr>
          </w:p>
        </w:tc>
      </w:tr>
      <w:tr>
        <w:trPr>
          <w:trHeight w:val="364"/>
        </w:trPr>
        <w:tc>
          <w:tcPr>
            <w:tcW w:w="4880" w:type="dxa"/>
            <w:vAlign w:val="bottom"/>
            <w:tcBorders>
              <w:left w:val="single" w:sz="8" w:color="auto"/>
              <w:right w:val="single" w:sz="8" w:color="auto"/>
            </w:tcBorders>
          </w:tcPr>
          <w:p>
            <w:pPr>
              <w:ind w:left="40"/>
              <w:spacing w:after="0"/>
              <w:rPr>
                <w:sz w:val="20"/>
                <w:szCs w:val="20"/>
                <w:color w:val="auto"/>
              </w:rPr>
            </w:pPr>
            <w:r>
              <w:rPr>
                <w:rFonts w:ascii="Times New Roman" w:cs="Times New Roman" w:eastAsia="Times New Roman" w:hAnsi="Times New Roman"/>
                <w:sz w:val="28"/>
                <w:szCs w:val="28"/>
                <w:color w:val="auto"/>
              </w:rPr>
              <w:t>стоимости</w:t>
            </w:r>
          </w:p>
        </w:tc>
        <w:tc>
          <w:tcPr>
            <w:tcW w:w="760" w:type="dxa"/>
            <w:vAlign w:val="bottom"/>
            <w:tcBorders>
              <w:right w:val="single" w:sz="8" w:color="auto"/>
            </w:tcBorders>
          </w:tcPr>
          <w:p>
            <w:pPr>
              <w:spacing w:after="0"/>
              <w:rPr>
                <w:sz w:val="24"/>
                <w:szCs w:val="24"/>
                <w:color w:val="auto"/>
              </w:rPr>
            </w:pPr>
          </w:p>
        </w:tc>
        <w:tc>
          <w:tcPr>
            <w:tcW w:w="700" w:type="dxa"/>
            <w:vAlign w:val="bottom"/>
            <w:tcBorders>
              <w:right w:val="single" w:sz="8" w:color="auto"/>
            </w:tcBorders>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780" w:type="dxa"/>
            <w:vAlign w:val="bottom"/>
            <w:tcBorders>
              <w:right w:val="single" w:sz="8" w:color="auto"/>
            </w:tcBorders>
          </w:tcPr>
          <w:p>
            <w:pPr>
              <w:spacing w:after="0"/>
              <w:rPr>
                <w:sz w:val="24"/>
                <w:szCs w:val="24"/>
                <w:color w:val="auto"/>
              </w:rPr>
            </w:pPr>
          </w:p>
        </w:tc>
        <w:tc>
          <w:tcPr>
            <w:tcW w:w="720" w:type="dxa"/>
            <w:vAlign w:val="bottom"/>
            <w:tcBorders>
              <w:right w:val="single" w:sz="8" w:color="auto"/>
            </w:tcBorders>
          </w:tcPr>
          <w:p>
            <w:pPr>
              <w:spacing w:after="0"/>
              <w:rPr>
                <w:sz w:val="24"/>
                <w:szCs w:val="24"/>
                <w:color w:val="auto"/>
              </w:rPr>
            </w:pPr>
          </w:p>
        </w:tc>
        <w:tc>
          <w:tcPr>
            <w:tcW w:w="84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41"/>
        </w:trPr>
        <w:tc>
          <w:tcPr>
            <w:tcW w:w="4880" w:type="dxa"/>
            <w:vAlign w:val="bottom"/>
            <w:tcBorders>
              <w:left w:val="single" w:sz="8" w:color="auto"/>
              <w:bottom w:val="single" w:sz="8" w:color="auto"/>
              <w:right w:val="single" w:sz="8" w:color="auto"/>
            </w:tcBorders>
          </w:tcPr>
          <w:p>
            <w:pPr>
              <w:spacing w:after="0"/>
              <w:rPr>
                <w:sz w:val="3"/>
                <w:szCs w:val="3"/>
                <w:color w:val="auto"/>
              </w:rPr>
            </w:pPr>
          </w:p>
        </w:tc>
        <w:tc>
          <w:tcPr>
            <w:tcW w:w="760" w:type="dxa"/>
            <w:vAlign w:val="bottom"/>
            <w:tcBorders>
              <w:bottom w:val="single" w:sz="8" w:color="auto"/>
              <w:right w:val="single" w:sz="8" w:color="auto"/>
            </w:tcBorders>
          </w:tcPr>
          <w:p>
            <w:pPr>
              <w:spacing w:after="0"/>
              <w:rPr>
                <w:sz w:val="3"/>
                <w:szCs w:val="3"/>
                <w:color w:val="auto"/>
              </w:rPr>
            </w:pPr>
          </w:p>
        </w:tc>
        <w:tc>
          <w:tcPr>
            <w:tcW w:w="700" w:type="dxa"/>
            <w:vAlign w:val="bottom"/>
            <w:tcBorders>
              <w:bottom w:val="single" w:sz="8" w:color="auto"/>
              <w:right w:val="single" w:sz="8" w:color="auto"/>
            </w:tcBorders>
          </w:tcPr>
          <w:p>
            <w:pPr>
              <w:spacing w:after="0"/>
              <w:rPr>
                <w:sz w:val="3"/>
                <w:szCs w:val="3"/>
                <w:color w:val="auto"/>
              </w:rPr>
            </w:pPr>
          </w:p>
        </w:tc>
        <w:tc>
          <w:tcPr>
            <w:tcW w:w="640" w:type="dxa"/>
            <w:vAlign w:val="bottom"/>
            <w:tcBorders>
              <w:bottom w:val="single" w:sz="8" w:color="auto"/>
              <w:right w:val="single" w:sz="8" w:color="auto"/>
            </w:tcBorders>
          </w:tcPr>
          <w:p>
            <w:pPr>
              <w:spacing w:after="0"/>
              <w:rPr>
                <w:sz w:val="3"/>
                <w:szCs w:val="3"/>
                <w:color w:val="auto"/>
              </w:rPr>
            </w:pPr>
          </w:p>
        </w:tc>
        <w:tc>
          <w:tcPr>
            <w:tcW w:w="780" w:type="dxa"/>
            <w:vAlign w:val="bottom"/>
            <w:tcBorders>
              <w:bottom w:val="single" w:sz="8" w:color="auto"/>
              <w:right w:val="single" w:sz="8" w:color="auto"/>
            </w:tcBorders>
          </w:tcPr>
          <w:p>
            <w:pPr>
              <w:spacing w:after="0"/>
              <w:rPr>
                <w:sz w:val="3"/>
                <w:szCs w:val="3"/>
                <w:color w:val="auto"/>
              </w:rPr>
            </w:pPr>
          </w:p>
        </w:tc>
        <w:tc>
          <w:tcPr>
            <w:tcW w:w="720" w:type="dxa"/>
            <w:vAlign w:val="bottom"/>
            <w:tcBorders>
              <w:bottom w:val="single" w:sz="8" w:color="auto"/>
              <w:right w:val="single" w:sz="8" w:color="auto"/>
            </w:tcBorders>
          </w:tcPr>
          <w:p>
            <w:pPr>
              <w:spacing w:after="0"/>
              <w:rPr>
                <w:sz w:val="3"/>
                <w:szCs w:val="3"/>
                <w:color w:val="auto"/>
              </w:rPr>
            </w:pPr>
          </w:p>
        </w:tc>
        <w:tc>
          <w:tcPr>
            <w:tcW w:w="84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312"/>
        </w:trPr>
        <w:tc>
          <w:tcPr>
            <w:tcW w:w="4880" w:type="dxa"/>
            <w:vAlign w:val="bottom"/>
            <w:tcBorders>
              <w:left w:val="single" w:sz="8" w:color="auto"/>
              <w:bottom w:val="single" w:sz="8" w:color="auto"/>
              <w:right w:val="single" w:sz="8" w:color="auto"/>
            </w:tcBorders>
          </w:tcPr>
          <w:p>
            <w:pPr>
              <w:ind w:left="20"/>
              <w:spacing w:after="0" w:line="312" w:lineRule="exact"/>
              <w:rPr>
                <w:sz w:val="20"/>
                <w:szCs w:val="20"/>
                <w:color w:val="auto"/>
              </w:rPr>
            </w:pPr>
            <w:r>
              <w:rPr>
                <w:rFonts w:ascii="Times New Roman" w:cs="Times New Roman" w:eastAsia="Times New Roman" w:hAnsi="Times New Roman"/>
                <w:sz w:val="28"/>
                <w:szCs w:val="28"/>
                <w:color w:val="auto"/>
              </w:rPr>
              <w:t>SVA</w:t>
            </w:r>
          </w:p>
        </w:tc>
        <w:tc>
          <w:tcPr>
            <w:tcW w:w="760" w:type="dxa"/>
            <w:vAlign w:val="bottom"/>
            <w:tcBorders>
              <w:bottom w:val="single" w:sz="8" w:color="auto"/>
              <w:right w:val="single" w:sz="8" w:color="auto"/>
            </w:tcBorders>
          </w:tcPr>
          <w:p>
            <w:pPr>
              <w:jc w:val="center"/>
              <w:spacing w:after="0" w:line="312" w:lineRule="exact"/>
              <w:rPr>
                <w:sz w:val="20"/>
                <w:szCs w:val="20"/>
                <w:color w:val="auto"/>
              </w:rPr>
            </w:pPr>
            <w:r>
              <w:rPr>
                <w:rFonts w:ascii="Times New Roman" w:cs="Times New Roman" w:eastAsia="Times New Roman" w:hAnsi="Times New Roman"/>
                <w:sz w:val="28"/>
                <w:szCs w:val="28"/>
                <w:color w:val="auto"/>
                <w:w w:val="99"/>
              </w:rPr>
              <w:t>0</w:t>
            </w:r>
          </w:p>
        </w:tc>
        <w:tc>
          <w:tcPr>
            <w:tcW w:w="700" w:type="dxa"/>
            <w:vAlign w:val="bottom"/>
            <w:tcBorders>
              <w:bottom w:val="single" w:sz="8" w:color="auto"/>
              <w:right w:val="single" w:sz="8" w:color="auto"/>
            </w:tcBorders>
          </w:tcPr>
          <w:p>
            <w:pPr>
              <w:jc w:val="center"/>
              <w:spacing w:after="0" w:line="312" w:lineRule="exact"/>
              <w:rPr>
                <w:sz w:val="20"/>
                <w:szCs w:val="20"/>
                <w:color w:val="auto"/>
              </w:rPr>
            </w:pPr>
            <w:r>
              <w:rPr>
                <w:rFonts w:ascii="Times New Roman" w:cs="Times New Roman" w:eastAsia="Times New Roman" w:hAnsi="Times New Roman"/>
                <w:sz w:val="28"/>
                <w:szCs w:val="28"/>
                <w:color w:val="auto"/>
                <w:w w:val="99"/>
              </w:rPr>
              <w:t>101</w:t>
            </w:r>
          </w:p>
        </w:tc>
        <w:tc>
          <w:tcPr>
            <w:tcW w:w="640" w:type="dxa"/>
            <w:vAlign w:val="bottom"/>
            <w:tcBorders>
              <w:bottom w:val="single" w:sz="8" w:color="auto"/>
              <w:right w:val="single" w:sz="8" w:color="auto"/>
            </w:tcBorders>
          </w:tcPr>
          <w:p>
            <w:pPr>
              <w:jc w:val="center"/>
              <w:spacing w:after="0" w:line="312" w:lineRule="exact"/>
              <w:rPr>
                <w:sz w:val="20"/>
                <w:szCs w:val="20"/>
                <w:color w:val="auto"/>
              </w:rPr>
            </w:pPr>
            <w:r>
              <w:rPr>
                <w:rFonts w:ascii="Times New Roman" w:cs="Times New Roman" w:eastAsia="Times New Roman" w:hAnsi="Times New Roman"/>
                <w:sz w:val="28"/>
                <w:szCs w:val="28"/>
                <w:color w:val="auto"/>
                <w:w w:val="99"/>
              </w:rPr>
              <w:t>493</w:t>
            </w:r>
          </w:p>
        </w:tc>
        <w:tc>
          <w:tcPr>
            <w:tcW w:w="780" w:type="dxa"/>
            <w:vAlign w:val="bottom"/>
            <w:tcBorders>
              <w:bottom w:val="single" w:sz="8" w:color="auto"/>
              <w:right w:val="single" w:sz="8" w:color="auto"/>
            </w:tcBorders>
          </w:tcPr>
          <w:p>
            <w:pPr>
              <w:jc w:val="center"/>
              <w:spacing w:after="0" w:line="312" w:lineRule="exact"/>
              <w:rPr>
                <w:sz w:val="20"/>
                <w:szCs w:val="20"/>
                <w:color w:val="auto"/>
              </w:rPr>
            </w:pPr>
            <w:r>
              <w:rPr>
                <w:rFonts w:ascii="Times New Roman" w:cs="Times New Roman" w:eastAsia="Times New Roman" w:hAnsi="Times New Roman"/>
                <w:sz w:val="28"/>
                <w:szCs w:val="28"/>
                <w:color w:val="auto"/>
                <w:w w:val="99"/>
              </w:rPr>
              <w:t>0</w:t>
            </w:r>
          </w:p>
        </w:tc>
        <w:tc>
          <w:tcPr>
            <w:tcW w:w="720" w:type="dxa"/>
            <w:vAlign w:val="bottom"/>
            <w:tcBorders>
              <w:bottom w:val="single" w:sz="8" w:color="auto"/>
              <w:right w:val="single" w:sz="8" w:color="auto"/>
            </w:tcBorders>
          </w:tcPr>
          <w:p>
            <w:pPr>
              <w:jc w:val="center"/>
              <w:spacing w:after="0" w:line="312" w:lineRule="exact"/>
              <w:rPr>
                <w:sz w:val="20"/>
                <w:szCs w:val="20"/>
                <w:color w:val="auto"/>
              </w:rPr>
            </w:pPr>
            <w:r>
              <w:rPr>
                <w:rFonts w:ascii="Times New Roman" w:cs="Times New Roman" w:eastAsia="Times New Roman" w:hAnsi="Times New Roman"/>
                <w:sz w:val="28"/>
                <w:szCs w:val="28"/>
                <w:color w:val="auto"/>
                <w:w w:val="85"/>
              </w:rPr>
              <w:t>0</w:t>
            </w:r>
          </w:p>
        </w:tc>
        <w:tc>
          <w:tcPr>
            <w:tcW w:w="840" w:type="dxa"/>
            <w:vAlign w:val="bottom"/>
            <w:tcBorders>
              <w:bottom w:val="single" w:sz="8" w:color="auto"/>
              <w:right w:val="single" w:sz="8" w:color="auto"/>
            </w:tcBorders>
          </w:tcPr>
          <w:p>
            <w:pPr>
              <w:jc w:val="center"/>
              <w:spacing w:after="0" w:line="312" w:lineRule="exact"/>
              <w:rPr>
                <w:sz w:val="20"/>
                <w:szCs w:val="20"/>
                <w:color w:val="auto"/>
              </w:rPr>
            </w:pPr>
            <w:r>
              <w:rPr>
                <w:rFonts w:ascii="Times New Roman" w:cs="Times New Roman" w:eastAsia="Times New Roman" w:hAnsi="Times New Roman"/>
                <w:sz w:val="28"/>
                <w:szCs w:val="28"/>
                <w:color w:val="auto"/>
                <w:w w:val="99"/>
              </w:rPr>
              <w:t>0</w:t>
            </w:r>
          </w:p>
        </w:tc>
        <w:tc>
          <w:tcPr>
            <w:tcW w:w="0" w:type="dxa"/>
            <w:vAlign w:val="bottom"/>
          </w:tcPr>
          <w:p>
            <w:pPr>
              <w:spacing w:after="0"/>
              <w:rPr>
                <w:sz w:val="1"/>
                <w:szCs w:val="1"/>
                <w:color w:val="auto"/>
              </w:rPr>
            </w:pPr>
          </w:p>
        </w:tc>
      </w:tr>
      <w:tr>
        <w:trPr>
          <w:trHeight w:val="291"/>
        </w:trPr>
        <w:tc>
          <w:tcPr>
            <w:tcW w:w="4880" w:type="dxa"/>
            <w:vAlign w:val="bottom"/>
            <w:tcBorders>
              <w:left w:val="single" w:sz="8" w:color="auto"/>
              <w:right w:val="single" w:sz="8" w:color="auto"/>
            </w:tcBorders>
          </w:tcPr>
          <w:p>
            <w:pPr>
              <w:ind w:left="20"/>
              <w:spacing w:after="0" w:line="290" w:lineRule="exact"/>
              <w:rPr>
                <w:sz w:val="20"/>
                <w:szCs w:val="20"/>
                <w:color w:val="auto"/>
              </w:rPr>
            </w:pPr>
            <w:r>
              <w:rPr>
                <w:rFonts w:ascii="Times New Roman" w:cs="Times New Roman" w:eastAsia="Times New Roman" w:hAnsi="Times New Roman"/>
                <w:sz w:val="28"/>
                <w:szCs w:val="28"/>
                <w:color w:val="auto"/>
              </w:rPr>
              <w:t>Стоимость инвестированного капитала</w:t>
            </w:r>
          </w:p>
        </w:tc>
        <w:tc>
          <w:tcPr>
            <w:tcW w:w="760" w:type="dxa"/>
            <w:vAlign w:val="bottom"/>
          </w:tcPr>
          <w:p>
            <w:pPr>
              <w:spacing w:after="0"/>
              <w:rPr>
                <w:sz w:val="24"/>
                <w:szCs w:val="24"/>
                <w:color w:val="auto"/>
              </w:rPr>
            </w:pPr>
          </w:p>
        </w:tc>
        <w:tc>
          <w:tcPr>
            <w:tcW w:w="700" w:type="dxa"/>
            <w:vAlign w:val="bottom"/>
          </w:tcPr>
          <w:p>
            <w:pPr>
              <w:spacing w:after="0"/>
              <w:rPr>
                <w:sz w:val="24"/>
                <w:szCs w:val="24"/>
                <w:color w:val="auto"/>
              </w:rPr>
            </w:pPr>
          </w:p>
        </w:tc>
        <w:tc>
          <w:tcPr>
            <w:tcW w:w="1420" w:type="dxa"/>
            <w:vAlign w:val="bottom"/>
            <w:gridSpan w:val="2"/>
            <w:vMerge w:val="restart"/>
          </w:tcPr>
          <w:p>
            <w:pPr>
              <w:jc w:val="right"/>
              <w:ind w:right="280"/>
              <w:spacing w:after="0"/>
              <w:rPr>
                <w:sz w:val="20"/>
                <w:szCs w:val="20"/>
                <w:color w:val="auto"/>
              </w:rPr>
            </w:pPr>
            <w:r>
              <w:rPr>
                <w:rFonts w:ascii="Times New Roman" w:cs="Times New Roman" w:eastAsia="Times New Roman" w:hAnsi="Times New Roman"/>
                <w:sz w:val="28"/>
                <w:szCs w:val="28"/>
                <w:color w:val="auto"/>
              </w:rPr>
              <w:t>1013</w:t>
            </w:r>
          </w:p>
        </w:tc>
        <w:tc>
          <w:tcPr>
            <w:tcW w:w="720" w:type="dxa"/>
            <w:vAlign w:val="bottom"/>
          </w:tcPr>
          <w:p>
            <w:pPr>
              <w:spacing w:after="0"/>
              <w:rPr>
                <w:sz w:val="24"/>
                <w:szCs w:val="24"/>
                <w:color w:val="auto"/>
              </w:rPr>
            </w:pPr>
          </w:p>
        </w:tc>
        <w:tc>
          <w:tcPr>
            <w:tcW w:w="84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41"/>
        </w:trPr>
        <w:tc>
          <w:tcPr>
            <w:tcW w:w="4880" w:type="dxa"/>
            <w:vAlign w:val="bottom"/>
            <w:tcBorders>
              <w:left w:val="single" w:sz="8" w:color="auto"/>
              <w:right w:val="single" w:sz="8" w:color="auto"/>
            </w:tcBorders>
            <w:vMerge w:val="restart"/>
          </w:tcPr>
          <w:p>
            <w:pPr>
              <w:ind w:left="40"/>
              <w:spacing w:after="0"/>
              <w:rPr>
                <w:sz w:val="20"/>
                <w:szCs w:val="20"/>
                <w:color w:val="auto"/>
              </w:rPr>
            </w:pPr>
            <w:r>
              <w:rPr>
                <w:rFonts w:ascii="Times New Roman" w:cs="Times New Roman" w:eastAsia="Times New Roman" w:hAnsi="Times New Roman"/>
                <w:sz w:val="28"/>
                <w:szCs w:val="28"/>
                <w:color w:val="auto"/>
              </w:rPr>
              <w:t>на дату оценки</w:t>
            </w:r>
          </w:p>
        </w:tc>
        <w:tc>
          <w:tcPr>
            <w:tcW w:w="760" w:type="dxa"/>
            <w:vAlign w:val="bottom"/>
          </w:tcPr>
          <w:p>
            <w:pPr>
              <w:spacing w:after="0"/>
              <w:rPr>
                <w:sz w:val="20"/>
                <w:szCs w:val="20"/>
                <w:color w:val="auto"/>
              </w:rPr>
            </w:pPr>
          </w:p>
        </w:tc>
        <w:tc>
          <w:tcPr>
            <w:tcW w:w="700" w:type="dxa"/>
            <w:vAlign w:val="bottom"/>
          </w:tcPr>
          <w:p>
            <w:pPr>
              <w:spacing w:after="0"/>
              <w:rPr>
                <w:sz w:val="20"/>
                <w:szCs w:val="20"/>
                <w:color w:val="auto"/>
              </w:rPr>
            </w:pPr>
          </w:p>
        </w:tc>
        <w:tc>
          <w:tcPr>
            <w:tcW w:w="1420" w:type="dxa"/>
            <w:vAlign w:val="bottom"/>
            <w:gridSpan w:val="2"/>
            <w:vMerge w:val="continue"/>
          </w:tcPr>
          <w:p>
            <w:pPr>
              <w:spacing w:after="0"/>
              <w:rPr>
                <w:sz w:val="20"/>
                <w:szCs w:val="20"/>
                <w:color w:val="auto"/>
              </w:rPr>
            </w:pPr>
          </w:p>
        </w:tc>
        <w:tc>
          <w:tcPr>
            <w:tcW w:w="720" w:type="dxa"/>
            <w:vAlign w:val="bottom"/>
          </w:tcPr>
          <w:p>
            <w:pPr>
              <w:spacing w:after="0"/>
              <w:rPr>
                <w:sz w:val="20"/>
                <w:szCs w:val="20"/>
                <w:color w:val="auto"/>
              </w:rPr>
            </w:pPr>
          </w:p>
        </w:tc>
        <w:tc>
          <w:tcPr>
            <w:tcW w:w="840" w:type="dxa"/>
            <w:vAlign w:val="bottom"/>
            <w:tcBorders>
              <w:right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122"/>
        </w:trPr>
        <w:tc>
          <w:tcPr>
            <w:tcW w:w="4880" w:type="dxa"/>
            <w:vAlign w:val="bottom"/>
            <w:tcBorders>
              <w:left w:val="single" w:sz="8" w:color="auto"/>
              <w:right w:val="single" w:sz="8" w:color="auto"/>
            </w:tcBorders>
            <w:vMerge w:val="continue"/>
          </w:tcPr>
          <w:p>
            <w:pPr>
              <w:spacing w:after="0"/>
              <w:rPr>
                <w:sz w:val="10"/>
                <w:szCs w:val="10"/>
                <w:color w:val="auto"/>
              </w:rPr>
            </w:pPr>
          </w:p>
        </w:tc>
        <w:tc>
          <w:tcPr>
            <w:tcW w:w="76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840" w:type="dxa"/>
            <w:vAlign w:val="bottom"/>
            <w:tcBorders>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59"/>
        </w:trPr>
        <w:tc>
          <w:tcPr>
            <w:tcW w:w="4880" w:type="dxa"/>
            <w:vAlign w:val="bottom"/>
            <w:tcBorders>
              <w:left w:val="single" w:sz="8" w:color="auto"/>
              <w:bottom w:val="single" w:sz="8" w:color="auto"/>
              <w:right w:val="single" w:sz="8" w:color="auto"/>
            </w:tcBorders>
          </w:tcPr>
          <w:p>
            <w:pPr>
              <w:spacing w:after="0"/>
              <w:rPr>
                <w:sz w:val="5"/>
                <w:szCs w:val="5"/>
                <w:color w:val="auto"/>
              </w:rPr>
            </w:pPr>
          </w:p>
        </w:tc>
        <w:tc>
          <w:tcPr>
            <w:tcW w:w="760" w:type="dxa"/>
            <w:vAlign w:val="bottom"/>
            <w:tcBorders>
              <w:bottom w:val="single" w:sz="8" w:color="auto"/>
            </w:tcBorders>
          </w:tcPr>
          <w:p>
            <w:pPr>
              <w:spacing w:after="0"/>
              <w:rPr>
                <w:sz w:val="5"/>
                <w:szCs w:val="5"/>
                <w:color w:val="auto"/>
              </w:rPr>
            </w:pPr>
          </w:p>
        </w:tc>
        <w:tc>
          <w:tcPr>
            <w:tcW w:w="700" w:type="dxa"/>
            <w:vAlign w:val="bottom"/>
            <w:tcBorders>
              <w:bottom w:val="single" w:sz="8" w:color="auto"/>
            </w:tcBorders>
          </w:tcPr>
          <w:p>
            <w:pPr>
              <w:spacing w:after="0"/>
              <w:rPr>
                <w:sz w:val="5"/>
                <w:szCs w:val="5"/>
                <w:color w:val="auto"/>
              </w:rPr>
            </w:pPr>
          </w:p>
        </w:tc>
        <w:tc>
          <w:tcPr>
            <w:tcW w:w="1420" w:type="dxa"/>
            <w:vAlign w:val="bottom"/>
            <w:tcBorders>
              <w:bottom w:val="single" w:sz="8" w:color="auto"/>
            </w:tcBorders>
            <w:gridSpan w:val="2"/>
          </w:tcPr>
          <w:p>
            <w:pPr>
              <w:spacing w:after="0"/>
              <w:rPr>
                <w:sz w:val="5"/>
                <w:szCs w:val="5"/>
                <w:color w:val="auto"/>
              </w:rPr>
            </w:pPr>
          </w:p>
        </w:tc>
        <w:tc>
          <w:tcPr>
            <w:tcW w:w="720" w:type="dxa"/>
            <w:vAlign w:val="bottom"/>
            <w:tcBorders>
              <w:bottom w:val="single" w:sz="8" w:color="auto"/>
            </w:tcBorders>
          </w:tcPr>
          <w:p>
            <w:pPr>
              <w:spacing w:after="0"/>
              <w:rPr>
                <w:sz w:val="5"/>
                <w:szCs w:val="5"/>
                <w:color w:val="auto"/>
              </w:rPr>
            </w:pPr>
          </w:p>
        </w:tc>
        <w:tc>
          <w:tcPr>
            <w:tcW w:w="840" w:type="dxa"/>
            <w:vAlign w:val="bottom"/>
            <w:tcBorders>
              <w:bottom w:val="single" w:sz="8" w:color="auto"/>
              <w:right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371"/>
        </w:trPr>
        <w:tc>
          <w:tcPr>
            <w:tcW w:w="4880" w:type="dxa"/>
            <w:vAlign w:val="bottom"/>
            <w:tcBorders>
              <w:left w:val="single" w:sz="8" w:color="auto"/>
              <w:right w:val="single" w:sz="8" w:color="auto"/>
            </w:tcBorders>
          </w:tcPr>
          <w:p>
            <w:pPr>
              <w:ind w:left="20"/>
              <w:spacing w:after="0"/>
              <w:rPr>
                <w:sz w:val="20"/>
                <w:szCs w:val="20"/>
                <w:color w:val="auto"/>
              </w:rPr>
            </w:pPr>
            <w:r>
              <w:rPr>
                <w:rFonts w:ascii="Times New Roman" w:cs="Times New Roman" w:eastAsia="Times New Roman" w:hAnsi="Times New Roman"/>
                <w:sz w:val="28"/>
                <w:szCs w:val="28"/>
                <w:color w:val="auto"/>
              </w:rPr>
              <w:t>Стоимость компании</w:t>
            </w:r>
          </w:p>
        </w:tc>
        <w:tc>
          <w:tcPr>
            <w:tcW w:w="760" w:type="dxa"/>
            <w:vAlign w:val="bottom"/>
          </w:tcPr>
          <w:p>
            <w:pPr>
              <w:spacing w:after="0"/>
              <w:rPr>
                <w:sz w:val="24"/>
                <w:szCs w:val="24"/>
                <w:color w:val="auto"/>
              </w:rPr>
            </w:pPr>
          </w:p>
        </w:tc>
        <w:tc>
          <w:tcPr>
            <w:tcW w:w="700" w:type="dxa"/>
            <w:vAlign w:val="bottom"/>
          </w:tcPr>
          <w:p>
            <w:pPr>
              <w:spacing w:after="0"/>
              <w:rPr>
                <w:sz w:val="24"/>
                <w:szCs w:val="24"/>
                <w:color w:val="auto"/>
              </w:rPr>
            </w:pPr>
          </w:p>
        </w:tc>
        <w:tc>
          <w:tcPr>
            <w:tcW w:w="1420" w:type="dxa"/>
            <w:vAlign w:val="bottom"/>
            <w:gridSpan w:val="2"/>
          </w:tcPr>
          <w:p>
            <w:pPr>
              <w:jc w:val="right"/>
              <w:ind w:right="280"/>
              <w:spacing w:after="0"/>
              <w:rPr>
                <w:sz w:val="20"/>
                <w:szCs w:val="20"/>
                <w:color w:val="auto"/>
              </w:rPr>
            </w:pPr>
            <w:r>
              <w:rPr>
                <w:rFonts w:ascii="Times New Roman" w:cs="Times New Roman" w:eastAsia="Times New Roman" w:hAnsi="Times New Roman"/>
                <w:sz w:val="28"/>
                <w:szCs w:val="28"/>
                <w:color w:val="auto"/>
              </w:rPr>
              <w:t>1607</w:t>
            </w:r>
          </w:p>
        </w:tc>
        <w:tc>
          <w:tcPr>
            <w:tcW w:w="720" w:type="dxa"/>
            <w:vAlign w:val="bottom"/>
          </w:tcPr>
          <w:p>
            <w:pPr>
              <w:spacing w:after="0"/>
              <w:rPr>
                <w:sz w:val="24"/>
                <w:szCs w:val="24"/>
                <w:color w:val="auto"/>
              </w:rPr>
            </w:pPr>
          </w:p>
        </w:tc>
        <w:tc>
          <w:tcPr>
            <w:tcW w:w="84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0"/>
        </w:trPr>
        <w:tc>
          <w:tcPr>
            <w:tcW w:w="4880" w:type="dxa"/>
            <w:vAlign w:val="bottom"/>
            <w:tcBorders>
              <w:left w:val="single" w:sz="8" w:color="auto"/>
              <w:bottom w:val="single" w:sz="8" w:color="auto"/>
              <w:right w:val="single" w:sz="8" w:color="auto"/>
            </w:tcBorders>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700" w:type="dxa"/>
            <w:vAlign w:val="bottom"/>
            <w:tcBorders>
              <w:bottom w:val="single" w:sz="8" w:color="auto"/>
            </w:tcBorders>
          </w:tcPr>
          <w:p>
            <w:pPr>
              <w:spacing w:after="0" w:line="20" w:lineRule="exact"/>
              <w:rPr>
                <w:sz w:val="1"/>
                <w:szCs w:val="1"/>
                <w:color w:val="auto"/>
              </w:rPr>
            </w:pPr>
          </w:p>
        </w:tc>
        <w:tc>
          <w:tcPr>
            <w:tcW w:w="640" w:type="dxa"/>
            <w:vAlign w:val="bottom"/>
            <w:tcBorders>
              <w:bottom w:val="single" w:sz="8" w:color="auto"/>
            </w:tcBorders>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720" w:type="dxa"/>
            <w:vAlign w:val="bottom"/>
            <w:tcBorders>
              <w:bottom w:val="single" w:sz="8" w:color="auto"/>
            </w:tcBorders>
          </w:tcPr>
          <w:p>
            <w:pPr>
              <w:spacing w:after="0" w:line="20" w:lineRule="exact"/>
              <w:rPr>
                <w:sz w:val="1"/>
                <w:szCs w:val="1"/>
                <w:color w:val="auto"/>
              </w:rPr>
            </w:pPr>
          </w:p>
        </w:tc>
        <w:tc>
          <w:tcPr>
            <w:tcW w:w="840" w:type="dxa"/>
            <w:vAlign w:val="bottom"/>
            <w:tcBorders>
              <w:bottom w:val="single" w:sz="8" w:color="auto"/>
              <w:right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bl>
    <w:p>
      <w:pPr>
        <w:spacing w:after="0" w:line="294" w:lineRule="exact"/>
        <w:rPr>
          <w:sz w:val="20"/>
          <w:szCs w:val="20"/>
          <w:color w:val="auto"/>
        </w:rPr>
      </w:pPr>
    </w:p>
    <w:p>
      <w:pPr>
        <w:jc w:val="both"/>
        <w:ind w:left="260" w:firstLine="720"/>
        <w:spacing w:after="0"/>
        <w:rPr>
          <w:sz w:val="20"/>
          <w:szCs w:val="20"/>
          <w:color w:val="auto"/>
        </w:rPr>
      </w:pPr>
      <w:r>
        <w:rPr>
          <w:rFonts w:ascii="Times New Roman" w:cs="Times New Roman" w:eastAsia="Times New Roman" w:hAnsi="Times New Roman"/>
          <w:sz w:val="28"/>
          <w:szCs w:val="28"/>
          <w:u w:val="single" w:color="auto"/>
          <w:color w:val="auto"/>
        </w:rPr>
        <w:t>Задача</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u w:val="single" w:color="auto"/>
          <w:color w:val="auto"/>
        </w:rPr>
        <w:t>6.5.</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i w:val="1"/>
          <w:iCs w:val="1"/>
          <w:color w:val="auto"/>
        </w:rPr>
        <w:t>Преимущества показателей</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i w:val="1"/>
          <w:iCs w:val="1"/>
          <w:color w:val="auto"/>
        </w:rPr>
        <w:t>EVA</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i w:val="1"/>
          <w:iCs w:val="1"/>
          <w:color w:val="auto"/>
        </w:rPr>
        <w:t>и</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i w:val="1"/>
          <w:iCs w:val="1"/>
          <w:color w:val="auto"/>
        </w:rPr>
        <w:t>SVA</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i w:val="1"/>
          <w:iCs w:val="1"/>
          <w:color w:val="auto"/>
        </w:rPr>
        <w:t>по сравнению с</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i w:val="1"/>
          <w:iCs w:val="1"/>
          <w:color w:val="auto"/>
        </w:rPr>
        <w:t xml:space="preserve">показателем денежного потока (CF). </w:t>
      </w:r>
      <w:r>
        <w:rPr>
          <w:rFonts w:ascii="Times New Roman" w:cs="Times New Roman" w:eastAsia="Times New Roman" w:hAnsi="Times New Roman"/>
          <w:sz w:val="28"/>
          <w:szCs w:val="28"/>
          <w:color w:val="auto"/>
        </w:rPr>
        <w:t>Использование показателей</w:t>
      </w:r>
      <w:r>
        <w:rPr>
          <w:rFonts w:ascii="Times New Roman" w:cs="Times New Roman" w:eastAsia="Times New Roman" w:hAnsi="Times New Roman"/>
          <w:sz w:val="28"/>
          <w:szCs w:val="28"/>
          <w:i w:val="1"/>
          <w:iCs w:val="1"/>
          <w:color w:val="auto"/>
        </w:rPr>
        <w:t xml:space="preserve"> </w:t>
      </w:r>
      <w:r>
        <w:rPr>
          <w:rFonts w:ascii="Times New Roman" w:cs="Times New Roman" w:eastAsia="Times New Roman" w:hAnsi="Times New Roman"/>
          <w:sz w:val="28"/>
          <w:szCs w:val="28"/>
          <w:color w:val="auto"/>
        </w:rPr>
        <w:t>EVA</w:t>
      </w:r>
      <w:r>
        <w:rPr>
          <w:rFonts w:ascii="Times New Roman" w:cs="Times New Roman" w:eastAsia="Times New Roman" w:hAnsi="Times New Roman"/>
          <w:sz w:val="28"/>
          <w:szCs w:val="28"/>
          <w:i w:val="1"/>
          <w:iCs w:val="1"/>
          <w:color w:val="auto"/>
        </w:rPr>
        <w:t xml:space="preserve"> </w:t>
      </w:r>
      <w:r>
        <w:rPr>
          <w:rFonts w:ascii="Times New Roman" w:cs="Times New Roman" w:eastAsia="Times New Roman" w:hAnsi="Times New Roman"/>
          <w:sz w:val="28"/>
          <w:szCs w:val="28"/>
          <w:color w:val="auto"/>
        </w:rPr>
        <w:t>и</w:t>
      </w:r>
      <w:r>
        <w:rPr>
          <w:rFonts w:ascii="Times New Roman" w:cs="Times New Roman" w:eastAsia="Times New Roman" w:hAnsi="Times New Roman"/>
          <w:sz w:val="28"/>
          <w:szCs w:val="28"/>
          <w:i w:val="1"/>
          <w:iCs w:val="1"/>
          <w:color w:val="auto"/>
        </w:rPr>
        <w:t xml:space="preserve"> </w:t>
      </w:r>
      <w:r>
        <w:rPr>
          <w:rFonts w:ascii="Times New Roman" w:cs="Times New Roman" w:eastAsia="Times New Roman" w:hAnsi="Times New Roman"/>
          <w:sz w:val="28"/>
          <w:szCs w:val="28"/>
          <w:color w:val="auto"/>
        </w:rPr>
        <w:t>SVA при управлении стоимостью в отличие от показателя денежного потока (CF) дает возможность понять, насколько эффективны были совершенные инвестиции. Распределение суммы добавленной стоимости по годам при этом различно.</w:t>
      </w:r>
    </w:p>
    <w:p>
      <w:pPr>
        <w:spacing w:after="0" w:line="6" w:lineRule="exact"/>
        <w:rPr>
          <w:sz w:val="20"/>
          <w:szCs w:val="20"/>
          <w:color w:val="auto"/>
        </w:rPr>
      </w:pPr>
    </w:p>
    <w:p>
      <w:pPr>
        <w:ind w:left="1280" w:hanging="299"/>
        <w:spacing w:after="0"/>
        <w:tabs>
          <w:tab w:leader="none" w:pos="1280" w:val="left"/>
        </w:tabs>
        <w:numPr>
          <w:ilvl w:val="0"/>
          <w:numId w:val="11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табл. 6.4 приводятся расчетные данные для сравнения показателей</w:t>
      </w:r>
    </w:p>
    <w:p>
      <w:pPr>
        <w:ind w:left="26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EVA, SVA и CF.</w:t>
      </w:r>
    </w:p>
    <w:p>
      <w:pPr>
        <w:jc w:val="both"/>
        <w:ind w:left="260" w:firstLine="720"/>
        <w:spacing w:after="0" w:line="239"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Показатель SVA позволяет сделать вывод о создании добавленной стоимости при увеличении инвестированного капитала во второй год; показатель EVA свидетельствует о том, что инвестиция неэффективна, а показатель СF - о том, что произошел отток денежных средств, но CF не дает возможности понять степень эффективности инвестиционного решения.</w:t>
      </w:r>
    </w:p>
    <w:p>
      <w:pPr>
        <w:spacing w:after="0" w:line="6" w:lineRule="exact"/>
        <w:rPr>
          <w:rFonts w:ascii="Times New Roman" w:cs="Times New Roman" w:eastAsia="Times New Roman" w:hAnsi="Times New Roman"/>
          <w:sz w:val="28"/>
          <w:szCs w:val="28"/>
          <w:color w:val="auto"/>
        </w:rPr>
      </w:pPr>
    </w:p>
    <w:p>
      <w:pPr>
        <w:jc w:val="both"/>
        <w:ind w:left="260" w:firstLine="72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Важным преимуществом показателя SVA является учет стоимости, добавленной новыми инвестициями, в том же году, когда данная инвестиция была совершена.</w:t>
      </w:r>
    </w:p>
    <w:p>
      <w:pPr>
        <w:jc w:val="both"/>
        <w:ind w:left="260" w:firstLine="722"/>
        <w:spacing w:after="0" w:line="255" w:lineRule="auto"/>
        <w:tabs>
          <w:tab w:leader="none" w:pos="1318" w:val="left"/>
        </w:tabs>
        <w:numPr>
          <w:ilvl w:val="0"/>
          <w:numId w:val="11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случае одинаковых допущений и при корректном использовании методов оценки, базирующихся на денежных потоках, и методов, основанных на концепции экономической прибыли, стоимость компании</w:t>
      </w:r>
    </w:p>
    <w:p>
      <w:pPr>
        <w:sectPr>
          <w:pgSz w:w="11900" w:h="16840" w:orient="portrait"/>
          <w:cols w:equalWidth="0" w:num="1">
            <w:col w:w="9620"/>
          </w:cols>
          <w:pgMar w:left="1440" w:top="1112" w:right="844" w:bottom="163" w:gutter="0" w:footer="0" w:header="0"/>
        </w:sectPr>
      </w:pPr>
    </w:p>
    <w:p>
      <w:pPr>
        <w:spacing w:after="0" w:line="257" w:lineRule="exact"/>
        <w:rPr>
          <w:sz w:val="20"/>
          <w:szCs w:val="20"/>
          <w:color w:val="auto"/>
        </w:rPr>
      </w:pPr>
    </w:p>
    <w:p>
      <w:pPr>
        <w:ind w:left="9380"/>
        <w:spacing w:after="0"/>
        <w:rPr>
          <w:sz w:val="20"/>
          <w:szCs w:val="20"/>
          <w:color w:val="auto"/>
        </w:rPr>
      </w:pPr>
      <w:r>
        <w:rPr>
          <w:rFonts w:ascii="Times New Roman" w:cs="Times New Roman" w:eastAsia="Times New Roman" w:hAnsi="Times New Roman"/>
          <w:sz w:val="24"/>
          <w:szCs w:val="24"/>
          <w:color w:val="auto"/>
        </w:rPr>
        <w:t>52</w:t>
      </w:r>
    </w:p>
    <w:p>
      <w:pPr>
        <w:sectPr>
          <w:pgSz w:w="11900" w:h="16840" w:orient="portrait"/>
          <w:cols w:equalWidth="0" w:num="1">
            <w:col w:w="9620"/>
          </w:cols>
          <w:pgMar w:left="1440" w:top="1112" w:right="844" w:bottom="163" w:gutter="0" w:footer="0" w:header="0"/>
          <w:type w:val="continuous"/>
        </w:sectPr>
      </w:pPr>
    </w:p>
    <w:p>
      <w:pPr>
        <w:ind w:left="260"/>
        <w:spacing w:after="0"/>
        <w:rPr>
          <w:sz w:val="20"/>
          <w:szCs w:val="20"/>
          <w:color w:val="auto"/>
        </w:rPr>
      </w:pPr>
      <w:r>
        <w:rPr>
          <w:rFonts w:ascii="Times New Roman" w:cs="Times New Roman" w:eastAsia="Times New Roman" w:hAnsi="Times New Roman"/>
          <w:sz w:val="28"/>
          <w:szCs w:val="28"/>
          <w:color w:val="auto"/>
        </w:rPr>
        <w:t>будет одинакова (см. табл. 6.4).</w:t>
      </w:r>
    </w:p>
    <w:p>
      <w:pPr>
        <w:ind w:left="8200"/>
        <w:spacing w:after="0"/>
        <w:rPr>
          <w:sz w:val="20"/>
          <w:szCs w:val="20"/>
          <w:color w:val="auto"/>
        </w:rPr>
      </w:pPr>
      <w:r>
        <w:rPr>
          <w:rFonts w:ascii="Times New Roman" w:cs="Times New Roman" w:eastAsia="Times New Roman" w:hAnsi="Times New Roman"/>
          <w:sz w:val="28"/>
          <w:szCs w:val="28"/>
          <w:color w:val="auto"/>
        </w:rPr>
        <w:t>Таблица 6.4</w:t>
      </w:r>
    </w:p>
    <w:p>
      <w:pPr>
        <w:spacing w:after="0" w:line="1" w:lineRule="exact"/>
        <w:rPr>
          <w:sz w:val="20"/>
          <w:szCs w:val="20"/>
          <w:color w:val="auto"/>
        </w:rPr>
      </w:pPr>
    </w:p>
    <w:p>
      <w:pPr>
        <w:ind w:left="2380"/>
        <w:spacing w:after="0"/>
        <w:rPr>
          <w:sz w:val="20"/>
          <w:szCs w:val="20"/>
          <w:color w:val="auto"/>
        </w:rPr>
      </w:pPr>
      <w:r>
        <w:rPr>
          <w:rFonts w:ascii="Times New Roman" w:cs="Times New Roman" w:eastAsia="Times New Roman" w:hAnsi="Times New Roman"/>
          <w:sz w:val="28"/>
          <w:szCs w:val="28"/>
          <w:color w:val="auto"/>
        </w:rPr>
        <w:t>Сравнение показателей EVA, SVA, CF, долл.</w:t>
      </w:r>
    </w:p>
    <w:tbl>
      <w:tblPr>
        <w:tblLayout w:type="fixed"/>
        <w:tblInd w:w="270" w:type="dxa"/>
        <w:tblCellMar>
          <w:top w:w="0" w:type="dxa"/>
          <w:left w:w="0" w:type="dxa"/>
          <w:bottom w:w="0" w:type="dxa"/>
          <w:right w:w="0" w:type="dxa"/>
        </w:tblCellMar>
      </w:tblPr>
      <w:tr>
        <w:trPr>
          <w:trHeight w:val="334"/>
        </w:trPr>
        <w:tc>
          <w:tcPr>
            <w:tcW w:w="5060" w:type="dxa"/>
            <w:vAlign w:val="bottom"/>
            <w:tcBorders>
              <w:top w:val="single" w:sz="8" w:color="auto"/>
              <w:left w:val="single" w:sz="8" w:color="auto"/>
              <w:bottom w:val="single" w:sz="8" w:color="auto"/>
              <w:right w:val="single" w:sz="8" w:color="auto"/>
            </w:tcBorders>
            <w:vMerge w:val="restart"/>
          </w:tcPr>
          <w:p>
            <w:pPr>
              <w:ind w:left="1840"/>
              <w:spacing w:after="0"/>
              <w:rPr>
                <w:sz w:val="20"/>
                <w:szCs w:val="20"/>
                <w:color w:val="auto"/>
              </w:rPr>
            </w:pPr>
            <w:r>
              <w:rPr>
                <w:rFonts w:ascii="Times New Roman" w:cs="Times New Roman" w:eastAsia="Times New Roman" w:hAnsi="Times New Roman"/>
                <w:sz w:val="28"/>
                <w:szCs w:val="28"/>
                <w:color w:val="auto"/>
              </w:rPr>
              <w:t>Показатель</w:t>
            </w:r>
          </w:p>
        </w:tc>
        <w:tc>
          <w:tcPr>
            <w:tcW w:w="780" w:type="dxa"/>
            <w:vAlign w:val="bottom"/>
            <w:tcBorders>
              <w:top w:val="single" w:sz="8" w:color="auto"/>
              <w:bottom w:val="single" w:sz="8" w:color="auto"/>
            </w:tcBorders>
          </w:tcPr>
          <w:p>
            <w:pPr>
              <w:spacing w:after="0"/>
              <w:rPr>
                <w:sz w:val="24"/>
                <w:szCs w:val="24"/>
                <w:color w:val="auto"/>
              </w:rPr>
            </w:pPr>
          </w:p>
        </w:tc>
        <w:tc>
          <w:tcPr>
            <w:tcW w:w="680" w:type="dxa"/>
            <w:vAlign w:val="bottom"/>
            <w:tcBorders>
              <w:top w:val="single" w:sz="8" w:color="auto"/>
              <w:bottom w:val="single" w:sz="8" w:color="auto"/>
            </w:tcBorders>
          </w:tcPr>
          <w:p>
            <w:pPr>
              <w:spacing w:after="0"/>
              <w:rPr>
                <w:sz w:val="24"/>
                <w:szCs w:val="24"/>
                <w:color w:val="auto"/>
              </w:rPr>
            </w:pPr>
          </w:p>
        </w:tc>
        <w:tc>
          <w:tcPr>
            <w:tcW w:w="1420" w:type="dxa"/>
            <w:vAlign w:val="bottom"/>
            <w:tcBorders>
              <w:top w:val="single" w:sz="8" w:color="auto"/>
              <w:bottom w:val="single" w:sz="8" w:color="auto"/>
            </w:tcBorders>
            <w:gridSpan w:val="3"/>
          </w:tcPr>
          <w:p>
            <w:pPr>
              <w:jc w:val="center"/>
              <w:spacing w:after="0"/>
              <w:rPr>
                <w:sz w:val="20"/>
                <w:szCs w:val="20"/>
                <w:color w:val="auto"/>
              </w:rPr>
            </w:pPr>
            <w:r>
              <w:rPr>
                <w:rFonts w:ascii="Times New Roman" w:cs="Times New Roman" w:eastAsia="Times New Roman" w:hAnsi="Times New Roman"/>
                <w:sz w:val="28"/>
                <w:szCs w:val="28"/>
                <w:color w:val="auto"/>
                <w:w w:val="97"/>
              </w:rPr>
              <w:t>Годы</w:t>
            </w:r>
          </w:p>
        </w:tc>
        <w:tc>
          <w:tcPr>
            <w:tcW w:w="740" w:type="dxa"/>
            <w:vAlign w:val="bottom"/>
            <w:tcBorders>
              <w:top w:val="single" w:sz="8" w:color="auto"/>
              <w:bottom w:val="single" w:sz="8" w:color="auto"/>
            </w:tcBorders>
          </w:tcPr>
          <w:p>
            <w:pPr>
              <w:spacing w:after="0"/>
              <w:rPr>
                <w:sz w:val="24"/>
                <w:szCs w:val="24"/>
                <w:color w:val="auto"/>
              </w:rPr>
            </w:pPr>
          </w:p>
        </w:tc>
        <w:tc>
          <w:tcPr>
            <w:tcW w:w="840" w:type="dxa"/>
            <w:vAlign w:val="bottom"/>
            <w:tcBorders>
              <w:top w:val="single" w:sz="8" w:color="auto"/>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66"/>
        </w:trPr>
        <w:tc>
          <w:tcPr>
            <w:tcW w:w="5060" w:type="dxa"/>
            <w:vAlign w:val="bottom"/>
            <w:tcBorders>
              <w:left w:val="single" w:sz="8" w:color="auto"/>
              <w:right w:val="single" w:sz="8" w:color="auto"/>
            </w:tcBorders>
            <w:vMerge w:val="continue"/>
          </w:tcPr>
          <w:p>
            <w:pPr>
              <w:spacing w:after="0"/>
              <w:rPr>
                <w:sz w:val="14"/>
                <w:szCs w:val="14"/>
                <w:color w:val="auto"/>
              </w:rPr>
            </w:pPr>
          </w:p>
        </w:tc>
        <w:tc>
          <w:tcPr>
            <w:tcW w:w="780" w:type="dxa"/>
            <w:vAlign w:val="bottom"/>
            <w:tcBorders>
              <w:right w:val="single" w:sz="8" w:color="auto"/>
            </w:tcBorders>
            <w:vMerge w:val="restart"/>
          </w:tcPr>
          <w:p>
            <w:pPr>
              <w:jc w:val="center"/>
              <w:spacing w:after="0" w:line="310" w:lineRule="exact"/>
              <w:rPr>
                <w:sz w:val="20"/>
                <w:szCs w:val="20"/>
                <w:color w:val="auto"/>
              </w:rPr>
            </w:pPr>
            <w:r>
              <w:rPr>
                <w:rFonts w:ascii="Times New Roman" w:cs="Times New Roman" w:eastAsia="Times New Roman" w:hAnsi="Times New Roman"/>
                <w:sz w:val="28"/>
                <w:szCs w:val="28"/>
                <w:color w:val="auto"/>
                <w:w w:val="99"/>
              </w:rPr>
              <w:t>1</w:t>
            </w:r>
          </w:p>
        </w:tc>
        <w:tc>
          <w:tcPr>
            <w:tcW w:w="680" w:type="dxa"/>
            <w:vAlign w:val="bottom"/>
            <w:tcBorders>
              <w:right w:val="single" w:sz="8" w:color="auto"/>
            </w:tcBorders>
            <w:vMerge w:val="restart"/>
          </w:tcPr>
          <w:p>
            <w:pPr>
              <w:jc w:val="center"/>
              <w:spacing w:after="0" w:line="310" w:lineRule="exact"/>
              <w:rPr>
                <w:sz w:val="20"/>
                <w:szCs w:val="20"/>
                <w:color w:val="auto"/>
              </w:rPr>
            </w:pPr>
            <w:r>
              <w:rPr>
                <w:rFonts w:ascii="Times New Roman" w:cs="Times New Roman" w:eastAsia="Times New Roman" w:hAnsi="Times New Roman"/>
                <w:sz w:val="28"/>
                <w:szCs w:val="28"/>
                <w:color w:val="auto"/>
                <w:w w:val="99"/>
              </w:rPr>
              <w:t>2</w:t>
            </w:r>
          </w:p>
        </w:tc>
        <w:tc>
          <w:tcPr>
            <w:tcW w:w="520" w:type="dxa"/>
            <w:vAlign w:val="bottom"/>
            <w:vMerge w:val="restart"/>
          </w:tcPr>
          <w:p>
            <w:pPr>
              <w:jc w:val="center"/>
              <w:spacing w:after="0" w:line="310" w:lineRule="exact"/>
              <w:rPr>
                <w:sz w:val="20"/>
                <w:szCs w:val="20"/>
                <w:color w:val="auto"/>
              </w:rPr>
            </w:pPr>
            <w:r>
              <w:rPr>
                <w:rFonts w:ascii="Times New Roman" w:cs="Times New Roman" w:eastAsia="Times New Roman" w:hAnsi="Times New Roman"/>
                <w:sz w:val="28"/>
                <w:szCs w:val="28"/>
                <w:color w:val="auto"/>
                <w:w w:val="99"/>
              </w:rPr>
              <w:t>3</w:t>
            </w:r>
          </w:p>
        </w:tc>
        <w:tc>
          <w:tcPr>
            <w:tcW w:w="160" w:type="dxa"/>
            <w:vAlign w:val="bottom"/>
            <w:tcBorders>
              <w:right w:val="single" w:sz="8" w:color="auto"/>
            </w:tcBorders>
          </w:tcPr>
          <w:p>
            <w:pPr>
              <w:spacing w:after="0"/>
              <w:rPr>
                <w:sz w:val="14"/>
                <w:szCs w:val="14"/>
                <w:color w:val="auto"/>
              </w:rPr>
            </w:pPr>
          </w:p>
        </w:tc>
        <w:tc>
          <w:tcPr>
            <w:tcW w:w="740" w:type="dxa"/>
            <w:vAlign w:val="bottom"/>
            <w:tcBorders>
              <w:right w:val="single" w:sz="8" w:color="auto"/>
            </w:tcBorders>
            <w:vMerge w:val="restart"/>
          </w:tcPr>
          <w:p>
            <w:pPr>
              <w:jc w:val="center"/>
              <w:spacing w:after="0" w:line="310" w:lineRule="exact"/>
              <w:rPr>
                <w:sz w:val="20"/>
                <w:szCs w:val="20"/>
                <w:color w:val="auto"/>
              </w:rPr>
            </w:pPr>
            <w:r>
              <w:rPr>
                <w:rFonts w:ascii="Times New Roman" w:cs="Times New Roman" w:eastAsia="Times New Roman" w:hAnsi="Times New Roman"/>
                <w:sz w:val="28"/>
                <w:szCs w:val="28"/>
                <w:color w:val="auto"/>
                <w:w w:val="99"/>
              </w:rPr>
              <w:t>4</w:t>
            </w:r>
          </w:p>
        </w:tc>
        <w:tc>
          <w:tcPr>
            <w:tcW w:w="740" w:type="dxa"/>
            <w:vAlign w:val="bottom"/>
            <w:tcBorders>
              <w:right w:val="single" w:sz="8" w:color="auto"/>
            </w:tcBorders>
            <w:vMerge w:val="restart"/>
          </w:tcPr>
          <w:p>
            <w:pPr>
              <w:jc w:val="center"/>
              <w:spacing w:after="0" w:line="310" w:lineRule="exact"/>
              <w:rPr>
                <w:sz w:val="20"/>
                <w:szCs w:val="20"/>
                <w:color w:val="auto"/>
              </w:rPr>
            </w:pPr>
            <w:r>
              <w:rPr>
                <w:rFonts w:ascii="Times New Roman" w:cs="Times New Roman" w:eastAsia="Times New Roman" w:hAnsi="Times New Roman"/>
                <w:sz w:val="28"/>
                <w:szCs w:val="28"/>
                <w:color w:val="auto"/>
                <w:w w:val="99"/>
              </w:rPr>
              <w:t>5</w:t>
            </w:r>
          </w:p>
        </w:tc>
        <w:tc>
          <w:tcPr>
            <w:tcW w:w="840" w:type="dxa"/>
            <w:vAlign w:val="bottom"/>
            <w:tcBorders>
              <w:right w:val="single" w:sz="8" w:color="auto"/>
            </w:tcBorders>
            <w:vMerge w:val="restart"/>
          </w:tcPr>
          <w:p>
            <w:pPr>
              <w:jc w:val="center"/>
              <w:spacing w:after="0" w:line="310" w:lineRule="exact"/>
              <w:rPr>
                <w:sz w:val="20"/>
                <w:szCs w:val="20"/>
                <w:color w:val="auto"/>
              </w:rPr>
            </w:pPr>
            <w:r>
              <w:rPr>
                <w:rFonts w:ascii="Times New Roman" w:cs="Times New Roman" w:eastAsia="Times New Roman" w:hAnsi="Times New Roman"/>
                <w:sz w:val="28"/>
                <w:szCs w:val="28"/>
                <w:color w:val="auto"/>
                <w:w w:val="99"/>
              </w:rPr>
              <w:t>6</w:t>
            </w:r>
          </w:p>
        </w:tc>
        <w:tc>
          <w:tcPr>
            <w:tcW w:w="0" w:type="dxa"/>
            <w:vAlign w:val="bottom"/>
          </w:tcPr>
          <w:p>
            <w:pPr>
              <w:spacing w:after="0"/>
              <w:rPr>
                <w:sz w:val="1"/>
                <w:szCs w:val="1"/>
                <w:color w:val="auto"/>
              </w:rPr>
            </w:pPr>
          </w:p>
        </w:tc>
      </w:tr>
      <w:tr>
        <w:trPr>
          <w:trHeight w:val="145"/>
        </w:trPr>
        <w:tc>
          <w:tcPr>
            <w:tcW w:w="5060" w:type="dxa"/>
            <w:vAlign w:val="bottom"/>
            <w:tcBorders>
              <w:left w:val="single" w:sz="8" w:color="auto"/>
              <w:bottom w:val="single" w:sz="8" w:color="auto"/>
              <w:right w:val="single" w:sz="8" w:color="auto"/>
            </w:tcBorders>
          </w:tcPr>
          <w:p>
            <w:pPr>
              <w:spacing w:after="0"/>
              <w:rPr>
                <w:sz w:val="12"/>
                <w:szCs w:val="12"/>
                <w:color w:val="auto"/>
              </w:rPr>
            </w:pPr>
          </w:p>
        </w:tc>
        <w:tc>
          <w:tcPr>
            <w:tcW w:w="780" w:type="dxa"/>
            <w:vAlign w:val="bottom"/>
            <w:tcBorders>
              <w:bottom w:val="single" w:sz="8" w:color="auto"/>
              <w:right w:val="single" w:sz="8" w:color="auto"/>
            </w:tcBorders>
            <w:vMerge w:val="continue"/>
          </w:tcPr>
          <w:p>
            <w:pPr>
              <w:spacing w:after="0"/>
              <w:rPr>
                <w:sz w:val="12"/>
                <w:szCs w:val="12"/>
                <w:color w:val="auto"/>
              </w:rPr>
            </w:pPr>
          </w:p>
        </w:tc>
        <w:tc>
          <w:tcPr>
            <w:tcW w:w="680" w:type="dxa"/>
            <w:vAlign w:val="bottom"/>
            <w:tcBorders>
              <w:bottom w:val="single" w:sz="8" w:color="auto"/>
              <w:right w:val="single" w:sz="8" w:color="auto"/>
            </w:tcBorders>
            <w:vMerge w:val="continue"/>
          </w:tcPr>
          <w:p>
            <w:pPr>
              <w:spacing w:after="0"/>
              <w:rPr>
                <w:sz w:val="12"/>
                <w:szCs w:val="12"/>
                <w:color w:val="auto"/>
              </w:rPr>
            </w:pPr>
          </w:p>
        </w:tc>
        <w:tc>
          <w:tcPr>
            <w:tcW w:w="520" w:type="dxa"/>
            <w:vAlign w:val="bottom"/>
            <w:tcBorders>
              <w:bottom w:val="single" w:sz="8" w:color="auto"/>
            </w:tcBorders>
            <w:vMerge w:val="continue"/>
          </w:tcPr>
          <w:p>
            <w:pPr>
              <w:spacing w:after="0"/>
              <w:rPr>
                <w:sz w:val="12"/>
                <w:szCs w:val="12"/>
                <w:color w:val="auto"/>
              </w:rPr>
            </w:pPr>
          </w:p>
        </w:tc>
        <w:tc>
          <w:tcPr>
            <w:tcW w:w="160" w:type="dxa"/>
            <w:vAlign w:val="bottom"/>
            <w:tcBorders>
              <w:bottom w:val="single" w:sz="8" w:color="auto"/>
              <w:right w:val="single" w:sz="8" w:color="auto"/>
            </w:tcBorders>
          </w:tcPr>
          <w:p>
            <w:pPr>
              <w:spacing w:after="0"/>
              <w:rPr>
                <w:sz w:val="12"/>
                <w:szCs w:val="12"/>
                <w:color w:val="auto"/>
              </w:rPr>
            </w:pPr>
          </w:p>
        </w:tc>
        <w:tc>
          <w:tcPr>
            <w:tcW w:w="740" w:type="dxa"/>
            <w:vAlign w:val="bottom"/>
            <w:tcBorders>
              <w:bottom w:val="single" w:sz="8" w:color="auto"/>
              <w:right w:val="single" w:sz="8" w:color="auto"/>
            </w:tcBorders>
            <w:vMerge w:val="continue"/>
          </w:tcPr>
          <w:p>
            <w:pPr>
              <w:spacing w:after="0"/>
              <w:rPr>
                <w:sz w:val="12"/>
                <w:szCs w:val="12"/>
                <w:color w:val="auto"/>
              </w:rPr>
            </w:pPr>
          </w:p>
        </w:tc>
        <w:tc>
          <w:tcPr>
            <w:tcW w:w="740" w:type="dxa"/>
            <w:vAlign w:val="bottom"/>
            <w:tcBorders>
              <w:bottom w:val="single" w:sz="8" w:color="auto"/>
              <w:right w:val="single" w:sz="8" w:color="auto"/>
            </w:tcBorders>
            <w:vMerge w:val="continue"/>
          </w:tcPr>
          <w:p>
            <w:pPr>
              <w:spacing w:after="0"/>
              <w:rPr>
                <w:sz w:val="12"/>
                <w:szCs w:val="12"/>
                <w:color w:val="auto"/>
              </w:rPr>
            </w:pPr>
          </w:p>
        </w:tc>
        <w:tc>
          <w:tcPr>
            <w:tcW w:w="840" w:type="dxa"/>
            <w:vAlign w:val="bottom"/>
            <w:tcBorders>
              <w:bottom w:val="single" w:sz="8" w:color="auto"/>
              <w:right w:val="single" w:sz="8" w:color="auto"/>
            </w:tcBorders>
            <w:vMerge w:val="continue"/>
          </w:tcPr>
          <w:p>
            <w:pPr>
              <w:spacing w:after="0"/>
              <w:rPr>
                <w:sz w:val="12"/>
                <w:szCs w:val="12"/>
                <w:color w:val="auto"/>
              </w:rPr>
            </w:pPr>
          </w:p>
        </w:tc>
        <w:tc>
          <w:tcPr>
            <w:tcW w:w="0" w:type="dxa"/>
            <w:vAlign w:val="bottom"/>
          </w:tcPr>
          <w:p>
            <w:pPr>
              <w:spacing w:after="0"/>
              <w:rPr>
                <w:sz w:val="1"/>
                <w:szCs w:val="1"/>
                <w:color w:val="auto"/>
              </w:rPr>
            </w:pPr>
          </w:p>
        </w:tc>
      </w:tr>
      <w:tr>
        <w:trPr>
          <w:trHeight w:val="291"/>
        </w:trPr>
        <w:tc>
          <w:tcPr>
            <w:tcW w:w="5060" w:type="dxa"/>
            <w:vAlign w:val="bottom"/>
            <w:tcBorders>
              <w:left w:val="single" w:sz="8" w:color="auto"/>
              <w:right w:val="single" w:sz="8" w:color="auto"/>
            </w:tcBorders>
          </w:tcPr>
          <w:p>
            <w:pPr>
              <w:ind w:left="20"/>
              <w:spacing w:after="0" w:line="290" w:lineRule="exact"/>
              <w:rPr>
                <w:sz w:val="20"/>
                <w:szCs w:val="20"/>
                <w:color w:val="auto"/>
              </w:rPr>
            </w:pPr>
            <w:r>
              <w:rPr>
                <w:rFonts w:ascii="Times New Roman" w:cs="Times New Roman" w:eastAsia="Times New Roman" w:hAnsi="Times New Roman"/>
                <w:sz w:val="28"/>
                <w:szCs w:val="28"/>
                <w:color w:val="auto"/>
              </w:rPr>
              <w:t>Акционерная добавленная стоимость</w:t>
            </w:r>
          </w:p>
        </w:tc>
        <w:tc>
          <w:tcPr>
            <w:tcW w:w="780" w:type="dxa"/>
            <w:vAlign w:val="bottom"/>
            <w:tcBorders>
              <w:right w:val="single" w:sz="8" w:color="auto"/>
            </w:tcBorders>
          </w:tcPr>
          <w:p>
            <w:pPr>
              <w:jc w:val="center"/>
              <w:spacing w:after="0" w:line="290" w:lineRule="exact"/>
              <w:rPr>
                <w:sz w:val="20"/>
                <w:szCs w:val="20"/>
                <w:color w:val="auto"/>
              </w:rPr>
            </w:pPr>
            <w:r>
              <w:rPr>
                <w:rFonts w:ascii="Times New Roman" w:cs="Times New Roman" w:eastAsia="Times New Roman" w:hAnsi="Times New Roman"/>
                <w:sz w:val="28"/>
                <w:szCs w:val="28"/>
                <w:color w:val="auto"/>
                <w:w w:val="99"/>
              </w:rPr>
              <w:t>0</w:t>
            </w:r>
          </w:p>
        </w:tc>
        <w:tc>
          <w:tcPr>
            <w:tcW w:w="680" w:type="dxa"/>
            <w:vAlign w:val="bottom"/>
            <w:tcBorders>
              <w:right w:val="single" w:sz="8" w:color="auto"/>
            </w:tcBorders>
          </w:tcPr>
          <w:p>
            <w:pPr>
              <w:jc w:val="center"/>
              <w:spacing w:after="0" w:line="290" w:lineRule="exact"/>
              <w:rPr>
                <w:sz w:val="20"/>
                <w:szCs w:val="20"/>
                <w:color w:val="auto"/>
              </w:rPr>
            </w:pPr>
            <w:r>
              <w:rPr>
                <w:rFonts w:ascii="Times New Roman" w:cs="Times New Roman" w:eastAsia="Times New Roman" w:hAnsi="Times New Roman"/>
                <w:sz w:val="28"/>
                <w:szCs w:val="28"/>
                <w:color w:val="auto"/>
                <w:w w:val="99"/>
              </w:rPr>
              <w:t>101</w:t>
            </w:r>
          </w:p>
        </w:tc>
        <w:tc>
          <w:tcPr>
            <w:tcW w:w="520" w:type="dxa"/>
            <w:vAlign w:val="bottom"/>
          </w:tcPr>
          <w:p>
            <w:pPr>
              <w:jc w:val="center"/>
              <w:spacing w:after="0" w:line="290" w:lineRule="exact"/>
              <w:rPr>
                <w:sz w:val="20"/>
                <w:szCs w:val="20"/>
                <w:color w:val="auto"/>
              </w:rPr>
            </w:pPr>
            <w:r>
              <w:rPr>
                <w:rFonts w:ascii="Times New Roman" w:cs="Times New Roman" w:eastAsia="Times New Roman" w:hAnsi="Times New Roman"/>
                <w:sz w:val="28"/>
                <w:szCs w:val="28"/>
                <w:color w:val="auto"/>
                <w:w w:val="99"/>
              </w:rPr>
              <w:t>493</w:t>
            </w:r>
          </w:p>
        </w:tc>
        <w:tc>
          <w:tcPr>
            <w:tcW w:w="160" w:type="dxa"/>
            <w:vAlign w:val="bottom"/>
            <w:tcBorders>
              <w:right w:val="single" w:sz="8" w:color="auto"/>
            </w:tcBorders>
          </w:tcPr>
          <w:p>
            <w:pPr>
              <w:spacing w:after="0"/>
              <w:rPr>
                <w:sz w:val="24"/>
                <w:szCs w:val="24"/>
                <w:color w:val="auto"/>
              </w:rPr>
            </w:pPr>
          </w:p>
        </w:tc>
        <w:tc>
          <w:tcPr>
            <w:tcW w:w="740" w:type="dxa"/>
            <w:vAlign w:val="bottom"/>
            <w:tcBorders>
              <w:right w:val="single" w:sz="8" w:color="auto"/>
            </w:tcBorders>
          </w:tcPr>
          <w:p>
            <w:pPr>
              <w:jc w:val="center"/>
              <w:spacing w:after="0" w:line="290" w:lineRule="exact"/>
              <w:rPr>
                <w:sz w:val="20"/>
                <w:szCs w:val="20"/>
                <w:color w:val="auto"/>
              </w:rPr>
            </w:pPr>
            <w:r>
              <w:rPr>
                <w:rFonts w:ascii="Times New Roman" w:cs="Times New Roman" w:eastAsia="Times New Roman" w:hAnsi="Times New Roman"/>
                <w:sz w:val="28"/>
                <w:szCs w:val="28"/>
                <w:color w:val="auto"/>
                <w:w w:val="99"/>
              </w:rPr>
              <w:t>0</w:t>
            </w:r>
          </w:p>
        </w:tc>
        <w:tc>
          <w:tcPr>
            <w:tcW w:w="740" w:type="dxa"/>
            <w:vAlign w:val="bottom"/>
            <w:tcBorders>
              <w:right w:val="single" w:sz="8" w:color="auto"/>
            </w:tcBorders>
          </w:tcPr>
          <w:p>
            <w:pPr>
              <w:jc w:val="center"/>
              <w:spacing w:after="0" w:line="290" w:lineRule="exact"/>
              <w:rPr>
                <w:sz w:val="20"/>
                <w:szCs w:val="20"/>
                <w:color w:val="auto"/>
              </w:rPr>
            </w:pPr>
            <w:r>
              <w:rPr>
                <w:rFonts w:ascii="Times New Roman" w:cs="Times New Roman" w:eastAsia="Times New Roman" w:hAnsi="Times New Roman"/>
                <w:sz w:val="28"/>
                <w:szCs w:val="28"/>
                <w:color w:val="auto"/>
                <w:w w:val="99"/>
              </w:rPr>
              <w:t>0</w:t>
            </w:r>
          </w:p>
        </w:tc>
        <w:tc>
          <w:tcPr>
            <w:tcW w:w="840" w:type="dxa"/>
            <w:vAlign w:val="bottom"/>
            <w:tcBorders>
              <w:right w:val="single" w:sz="8" w:color="auto"/>
            </w:tcBorders>
          </w:tcPr>
          <w:p>
            <w:pPr>
              <w:jc w:val="center"/>
              <w:spacing w:after="0" w:line="290" w:lineRule="exact"/>
              <w:rPr>
                <w:sz w:val="20"/>
                <w:szCs w:val="20"/>
                <w:color w:val="auto"/>
              </w:rPr>
            </w:pPr>
            <w:r>
              <w:rPr>
                <w:rFonts w:ascii="Times New Roman" w:cs="Times New Roman" w:eastAsia="Times New Roman" w:hAnsi="Times New Roman"/>
                <w:sz w:val="28"/>
                <w:szCs w:val="28"/>
                <w:color w:val="auto"/>
                <w:w w:val="99"/>
              </w:rPr>
              <w:t>0</w:t>
            </w:r>
          </w:p>
        </w:tc>
        <w:tc>
          <w:tcPr>
            <w:tcW w:w="0" w:type="dxa"/>
            <w:vAlign w:val="bottom"/>
          </w:tcPr>
          <w:p>
            <w:pPr>
              <w:spacing w:after="0"/>
              <w:rPr>
                <w:sz w:val="1"/>
                <w:szCs w:val="1"/>
                <w:color w:val="auto"/>
              </w:rPr>
            </w:pPr>
          </w:p>
        </w:tc>
      </w:tr>
      <w:tr>
        <w:trPr>
          <w:trHeight w:val="343"/>
        </w:trPr>
        <w:tc>
          <w:tcPr>
            <w:tcW w:w="5060" w:type="dxa"/>
            <w:vAlign w:val="bottom"/>
            <w:tcBorders>
              <w:left w:val="single" w:sz="8" w:color="auto"/>
              <w:bottom w:val="single" w:sz="8" w:color="auto"/>
              <w:right w:val="single" w:sz="8" w:color="auto"/>
            </w:tcBorders>
          </w:tcPr>
          <w:p>
            <w:pPr>
              <w:ind w:left="20"/>
              <w:spacing w:after="0"/>
              <w:rPr>
                <w:sz w:val="20"/>
                <w:szCs w:val="20"/>
                <w:color w:val="auto"/>
              </w:rPr>
            </w:pPr>
            <w:r>
              <w:rPr>
                <w:rFonts w:ascii="Times New Roman" w:cs="Times New Roman" w:eastAsia="Times New Roman" w:hAnsi="Times New Roman"/>
                <w:sz w:val="28"/>
                <w:szCs w:val="28"/>
                <w:color w:val="auto"/>
              </w:rPr>
              <w:t>(SVA)</w:t>
            </w:r>
          </w:p>
        </w:tc>
        <w:tc>
          <w:tcPr>
            <w:tcW w:w="780" w:type="dxa"/>
            <w:vAlign w:val="bottom"/>
            <w:tcBorders>
              <w:bottom w:val="single" w:sz="8" w:color="auto"/>
              <w:right w:val="single" w:sz="8" w:color="auto"/>
            </w:tcBorders>
          </w:tcPr>
          <w:p>
            <w:pPr>
              <w:spacing w:after="0"/>
              <w:rPr>
                <w:sz w:val="24"/>
                <w:szCs w:val="24"/>
                <w:color w:val="auto"/>
              </w:rPr>
            </w:pPr>
          </w:p>
        </w:tc>
        <w:tc>
          <w:tcPr>
            <w:tcW w:w="680" w:type="dxa"/>
            <w:vAlign w:val="bottom"/>
            <w:tcBorders>
              <w:bottom w:val="single" w:sz="8" w:color="auto"/>
              <w:right w:val="single" w:sz="8" w:color="auto"/>
            </w:tcBorders>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160" w:type="dxa"/>
            <w:vAlign w:val="bottom"/>
            <w:tcBorders>
              <w:bottom w:val="single" w:sz="8" w:color="auto"/>
              <w:right w:val="single" w:sz="8" w:color="auto"/>
            </w:tcBorders>
          </w:tcPr>
          <w:p>
            <w:pPr>
              <w:spacing w:after="0"/>
              <w:rPr>
                <w:sz w:val="24"/>
                <w:szCs w:val="24"/>
                <w:color w:val="auto"/>
              </w:rPr>
            </w:pPr>
          </w:p>
        </w:tc>
        <w:tc>
          <w:tcPr>
            <w:tcW w:w="740" w:type="dxa"/>
            <w:vAlign w:val="bottom"/>
            <w:tcBorders>
              <w:bottom w:val="single" w:sz="8" w:color="auto"/>
              <w:right w:val="single" w:sz="8" w:color="auto"/>
            </w:tcBorders>
          </w:tcPr>
          <w:p>
            <w:pPr>
              <w:spacing w:after="0"/>
              <w:rPr>
                <w:sz w:val="24"/>
                <w:szCs w:val="24"/>
                <w:color w:val="auto"/>
              </w:rPr>
            </w:pPr>
          </w:p>
        </w:tc>
        <w:tc>
          <w:tcPr>
            <w:tcW w:w="740" w:type="dxa"/>
            <w:vAlign w:val="bottom"/>
            <w:tcBorders>
              <w:bottom w:val="single" w:sz="8" w:color="auto"/>
              <w:right w:val="single" w:sz="8" w:color="auto"/>
            </w:tcBorders>
          </w:tcPr>
          <w:p>
            <w:pPr>
              <w:spacing w:after="0"/>
              <w:rPr>
                <w:sz w:val="24"/>
                <w:szCs w:val="24"/>
                <w:color w:val="auto"/>
              </w:rPr>
            </w:pPr>
          </w:p>
        </w:tc>
        <w:tc>
          <w:tcPr>
            <w:tcW w:w="84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91"/>
        </w:trPr>
        <w:tc>
          <w:tcPr>
            <w:tcW w:w="5060" w:type="dxa"/>
            <w:vAlign w:val="bottom"/>
            <w:tcBorders>
              <w:left w:val="single" w:sz="8" w:color="auto"/>
              <w:right w:val="single" w:sz="8" w:color="auto"/>
            </w:tcBorders>
          </w:tcPr>
          <w:p>
            <w:pPr>
              <w:ind w:left="20"/>
              <w:spacing w:after="0" w:line="290" w:lineRule="exact"/>
              <w:rPr>
                <w:sz w:val="20"/>
                <w:szCs w:val="20"/>
                <w:color w:val="auto"/>
              </w:rPr>
            </w:pPr>
            <w:r>
              <w:rPr>
                <w:rFonts w:ascii="Times New Roman" w:cs="Times New Roman" w:eastAsia="Times New Roman" w:hAnsi="Times New Roman"/>
                <w:sz w:val="28"/>
                <w:szCs w:val="28"/>
                <w:color w:val="auto"/>
              </w:rPr>
              <w:t>Стоимость компании (стоимость</w:t>
            </w:r>
          </w:p>
        </w:tc>
        <w:tc>
          <w:tcPr>
            <w:tcW w:w="78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52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84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22"/>
        </w:trPr>
        <w:tc>
          <w:tcPr>
            <w:tcW w:w="5060" w:type="dxa"/>
            <w:vAlign w:val="bottom"/>
            <w:tcBorders>
              <w:left w:val="single" w:sz="8" w:color="auto"/>
              <w:right w:val="single" w:sz="8" w:color="auto"/>
            </w:tcBorders>
          </w:tcPr>
          <w:p>
            <w:pPr>
              <w:ind w:left="20"/>
              <w:spacing w:after="0"/>
              <w:rPr>
                <w:sz w:val="20"/>
                <w:szCs w:val="20"/>
                <w:color w:val="auto"/>
              </w:rPr>
            </w:pPr>
            <w:r>
              <w:rPr>
                <w:rFonts w:ascii="Times New Roman" w:cs="Times New Roman" w:eastAsia="Times New Roman" w:hAnsi="Times New Roman"/>
                <w:sz w:val="28"/>
                <w:szCs w:val="28"/>
                <w:color w:val="auto"/>
              </w:rPr>
              <w:t>инвестированного капитала на дату</w:t>
            </w:r>
          </w:p>
        </w:tc>
        <w:tc>
          <w:tcPr>
            <w:tcW w:w="78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1420" w:type="dxa"/>
            <w:vAlign w:val="bottom"/>
            <w:gridSpan w:val="3"/>
          </w:tcPr>
          <w:p>
            <w:pPr>
              <w:jc w:val="center"/>
              <w:spacing w:after="0"/>
              <w:rPr>
                <w:sz w:val="20"/>
                <w:szCs w:val="20"/>
                <w:color w:val="auto"/>
              </w:rPr>
            </w:pPr>
            <w:r>
              <w:rPr>
                <w:rFonts w:ascii="Times New Roman" w:cs="Times New Roman" w:eastAsia="Times New Roman" w:hAnsi="Times New Roman"/>
                <w:sz w:val="28"/>
                <w:szCs w:val="28"/>
                <w:color w:val="auto"/>
                <w:w w:val="99"/>
              </w:rPr>
              <w:t>1606</w:t>
            </w:r>
          </w:p>
        </w:tc>
        <w:tc>
          <w:tcPr>
            <w:tcW w:w="740" w:type="dxa"/>
            <w:vAlign w:val="bottom"/>
          </w:tcPr>
          <w:p>
            <w:pPr>
              <w:spacing w:after="0"/>
              <w:rPr>
                <w:sz w:val="24"/>
                <w:szCs w:val="24"/>
                <w:color w:val="auto"/>
              </w:rPr>
            </w:pPr>
          </w:p>
        </w:tc>
        <w:tc>
          <w:tcPr>
            <w:tcW w:w="84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43"/>
        </w:trPr>
        <w:tc>
          <w:tcPr>
            <w:tcW w:w="5060" w:type="dxa"/>
            <w:vAlign w:val="bottom"/>
            <w:tcBorders>
              <w:left w:val="single" w:sz="8" w:color="auto"/>
              <w:bottom w:val="single" w:sz="8" w:color="auto"/>
              <w:right w:val="single" w:sz="8" w:color="auto"/>
            </w:tcBorders>
          </w:tcPr>
          <w:p>
            <w:pPr>
              <w:ind w:left="20"/>
              <w:spacing w:after="0"/>
              <w:rPr>
                <w:sz w:val="20"/>
                <w:szCs w:val="20"/>
                <w:color w:val="auto"/>
              </w:rPr>
            </w:pPr>
            <w:r>
              <w:rPr>
                <w:rFonts w:ascii="Times New Roman" w:cs="Times New Roman" w:eastAsia="Times New Roman" w:hAnsi="Times New Roman"/>
                <w:sz w:val="28"/>
                <w:szCs w:val="28"/>
                <w:color w:val="auto"/>
              </w:rPr>
              <w:t>оценки + Накопленная SVA)</w:t>
            </w:r>
          </w:p>
        </w:tc>
        <w:tc>
          <w:tcPr>
            <w:tcW w:w="78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740" w:type="dxa"/>
            <w:vAlign w:val="bottom"/>
            <w:tcBorders>
              <w:bottom w:val="single" w:sz="8" w:color="auto"/>
            </w:tcBorders>
          </w:tcPr>
          <w:p>
            <w:pPr>
              <w:spacing w:after="0"/>
              <w:rPr>
                <w:sz w:val="24"/>
                <w:szCs w:val="24"/>
                <w:color w:val="auto"/>
              </w:rPr>
            </w:pPr>
          </w:p>
        </w:tc>
        <w:tc>
          <w:tcPr>
            <w:tcW w:w="740" w:type="dxa"/>
            <w:vAlign w:val="bottom"/>
            <w:tcBorders>
              <w:bottom w:val="single" w:sz="8" w:color="auto"/>
            </w:tcBorders>
          </w:tcPr>
          <w:p>
            <w:pPr>
              <w:spacing w:after="0"/>
              <w:rPr>
                <w:sz w:val="24"/>
                <w:szCs w:val="24"/>
                <w:color w:val="auto"/>
              </w:rPr>
            </w:pPr>
          </w:p>
        </w:tc>
        <w:tc>
          <w:tcPr>
            <w:tcW w:w="84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91"/>
        </w:trPr>
        <w:tc>
          <w:tcPr>
            <w:tcW w:w="5060" w:type="dxa"/>
            <w:vAlign w:val="bottom"/>
            <w:tcBorders>
              <w:left w:val="single" w:sz="8" w:color="auto"/>
              <w:right w:val="single" w:sz="8" w:color="auto"/>
            </w:tcBorders>
          </w:tcPr>
          <w:p>
            <w:pPr>
              <w:ind w:left="20"/>
              <w:spacing w:after="0" w:line="290" w:lineRule="exact"/>
              <w:rPr>
                <w:sz w:val="20"/>
                <w:szCs w:val="20"/>
                <w:color w:val="auto"/>
              </w:rPr>
            </w:pPr>
            <w:r>
              <w:rPr>
                <w:rFonts w:ascii="Times New Roman" w:cs="Times New Roman" w:eastAsia="Times New Roman" w:hAnsi="Times New Roman"/>
                <w:sz w:val="28"/>
                <w:szCs w:val="28"/>
                <w:color w:val="auto"/>
              </w:rPr>
              <w:t>Экономическая добавленная</w:t>
            </w:r>
          </w:p>
        </w:tc>
        <w:tc>
          <w:tcPr>
            <w:tcW w:w="78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52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84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43"/>
        </w:trPr>
        <w:tc>
          <w:tcPr>
            <w:tcW w:w="5060" w:type="dxa"/>
            <w:vAlign w:val="bottom"/>
            <w:tcBorders>
              <w:left w:val="single" w:sz="8" w:color="auto"/>
              <w:bottom w:val="single" w:sz="8" w:color="auto"/>
              <w:right w:val="single" w:sz="8" w:color="auto"/>
            </w:tcBorders>
          </w:tcPr>
          <w:p>
            <w:pPr>
              <w:ind w:left="20"/>
              <w:spacing w:after="0"/>
              <w:rPr>
                <w:sz w:val="20"/>
                <w:szCs w:val="20"/>
                <w:color w:val="auto"/>
              </w:rPr>
            </w:pPr>
            <w:r>
              <w:rPr>
                <w:rFonts w:ascii="Times New Roman" w:cs="Times New Roman" w:eastAsia="Times New Roman" w:hAnsi="Times New Roman"/>
                <w:sz w:val="28"/>
                <w:szCs w:val="28"/>
                <w:color w:val="auto"/>
              </w:rPr>
              <w:t>стоимость(EVA)</w:t>
            </w:r>
          </w:p>
        </w:tc>
        <w:tc>
          <w:tcPr>
            <w:tcW w:w="78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740" w:type="dxa"/>
            <w:vAlign w:val="bottom"/>
            <w:tcBorders>
              <w:bottom w:val="single" w:sz="8" w:color="auto"/>
            </w:tcBorders>
          </w:tcPr>
          <w:p>
            <w:pPr>
              <w:spacing w:after="0"/>
              <w:rPr>
                <w:sz w:val="24"/>
                <w:szCs w:val="24"/>
                <w:color w:val="auto"/>
              </w:rPr>
            </w:pPr>
          </w:p>
        </w:tc>
        <w:tc>
          <w:tcPr>
            <w:tcW w:w="740" w:type="dxa"/>
            <w:vAlign w:val="bottom"/>
            <w:tcBorders>
              <w:bottom w:val="single" w:sz="8" w:color="auto"/>
            </w:tcBorders>
          </w:tcPr>
          <w:p>
            <w:pPr>
              <w:spacing w:after="0"/>
              <w:rPr>
                <w:sz w:val="24"/>
                <w:szCs w:val="24"/>
                <w:color w:val="auto"/>
              </w:rPr>
            </w:pPr>
          </w:p>
        </w:tc>
        <w:tc>
          <w:tcPr>
            <w:tcW w:w="84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53"/>
        </w:trPr>
        <w:tc>
          <w:tcPr>
            <w:tcW w:w="5060" w:type="dxa"/>
            <w:vAlign w:val="bottom"/>
            <w:tcBorders>
              <w:left w:val="single" w:sz="8" w:color="auto"/>
              <w:right w:val="single" w:sz="8" w:color="auto"/>
            </w:tcBorders>
          </w:tcPr>
          <w:p>
            <w:pPr>
              <w:ind w:left="20"/>
              <w:spacing w:after="0"/>
              <w:rPr>
                <w:sz w:val="20"/>
                <w:szCs w:val="20"/>
                <w:color w:val="auto"/>
              </w:rPr>
            </w:pPr>
            <w:r>
              <w:rPr>
                <w:rFonts w:ascii="Times New Roman" w:cs="Times New Roman" w:eastAsia="Times New Roman" w:hAnsi="Times New Roman"/>
                <w:sz w:val="28"/>
                <w:szCs w:val="28"/>
                <w:color w:val="auto"/>
              </w:rPr>
              <w:t>Текущая стоимость EVA</w:t>
            </w:r>
          </w:p>
        </w:tc>
        <w:tc>
          <w:tcPr>
            <w:tcW w:w="7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8"/>
                <w:szCs w:val="28"/>
                <w:color w:val="auto"/>
                <w:w w:val="96"/>
              </w:rPr>
              <w:t>-63</w:t>
            </w:r>
          </w:p>
        </w:tc>
        <w:tc>
          <w:tcPr>
            <w:tcW w:w="6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8"/>
                <w:szCs w:val="28"/>
                <w:color w:val="auto"/>
              </w:rPr>
              <w:t>-44</w:t>
            </w:r>
          </w:p>
        </w:tc>
        <w:tc>
          <w:tcPr>
            <w:tcW w:w="520" w:type="dxa"/>
            <w:vAlign w:val="bottom"/>
          </w:tcPr>
          <w:p>
            <w:pPr>
              <w:jc w:val="center"/>
              <w:spacing w:after="0"/>
              <w:rPr>
                <w:sz w:val="20"/>
                <w:szCs w:val="20"/>
                <w:color w:val="auto"/>
              </w:rPr>
            </w:pPr>
            <w:r>
              <w:rPr>
                <w:rFonts w:ascii="Times New Roman" w:cs="Times New Roman" w:eastAsia="Times New Roman" w:hAnsi="Times New Roman"/>
                <w:sz w:val="28"/>
                <w:szCs w:val="28"/>
                <w:color w:val="auto"/>
                <w:w w:val="99"/>
              </w:rPr>
              <w:t>32</w:t>
            </w:r>
          </w:p>
        </w:tc>
        <w:tc>
          <w:tcPr>
            <w:tcW w:w="160" w:type="dxa"/>
            <w:vAlign w:val="bottom"/>
            <w:tcBorders>
              <w:right w:val="single" w:sz="8" w:color="auto"/>
            </w:tcBorders>
          </w:tcPr>
          <w:p>
            <w:pPr>
              <w:spacing w:after="0"/>
              <w:rPr>
                <w:sz w:val="24"/>
                <w:szCs w:val="24"/>
                <w:color w:val="auto"/>
              </w:rPr>
            </w:pPr>
          </w:p>
        </w:tc>
        <w:tc>
          <w:tcPr>
            <w:tcW w:w="7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8"/>
                <w:szCs w:val="28"/>
                <w:color w:val="auto"/>
                <w:w w:val="99"/>
              </w:rPr>
              <w:t>27</w:t>
            </w:r>
          </w:p>
        </w:tc>
        <w:tc>
          <w:tcPr>
            <w:tcW w:w="7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8"/>
                <w:szCs w:val="28"/>
                <w:color w:val="auto"/>
                <w:w w:val="99"/>
              </w:rPr>
              <w:t>24</w:t>
            </w:r>
          </w:p>
        </w:tc>
        <w:tc>
          <w:tcPr>
            <w:tcW w:w="8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8"/>
                <w:szCs w:val="28"/>
                <w:color w:val="auto"/>
                <w:w w:val="99"/>
              </w:rPr>
              <w:t>21</w:t>
            </w:r>
          </w:p>
        </w:tc>
        <w:tc>
          <w:tcPr>
            <w:tcW w:w="0" w:type="dxa"/>
            <w:vAlign w:val="bottom"/>
          </w:tcPr>
          <w:p>
            <w:pPr>
              <w:spacing w:after="0"/>
              <w:rPr>
                <w:sz w:val="1"/>
                <w:szCs w:val="1"/>
                <w:color w:val="auto"/>
              </w:rPr>
            </w:pPr>
          </w:p>
        </w:tc>
      </w:tr>
      <w:tr>
        <w:trPr>
          <w:trHeight w:val="42"/>
        </w:trPr>
        <w:tc>
          <w:tcPr>
            <w:tcW w:w="5060" w:type="dxa"/>
            <w:vAlign w:val="bottom"/>
            <w:tcBorders>
              <w:left w:val="single" w:sz="8" w:color="auto"/>
              <w:bottom w:val="single" w:sz="8" w:color="auto"/>
              <w:right w:val="single" w:sz="8" w:color="auto"/>
            </w:tcBorders>
          </w:tcPr>
          <w:p>
            <w:pPr>
              <w:spacing w:after="0"/>
              <w:rPr>
                <w:sz w:val="3"/>
                <w:szCs w:val="3"/>
                <w:color w:val="auto"/>
              </w:rPr>
            </w:pPr>
          </w:p>
        </w:tc>
        <w:tc>
          <w:tcPr>
            <w:tcW w:w="780" w:type="dxa"/>
            <w:vAlign w:val="bottom"/>
            <w:tcBorders>
              <w:bottom w:val="single" w:sz="8" w:color="auto"/>
              <w:right w:val="single" w:sz="8" w:color="auto"/>
            </w:tcBorders>
          </w:tcPr>
          <w:p>
            <w:pPr>
              <w:spacing w:after="0"/>
              <w:rPr>
                <w:sz w:val="3"/>
                <w:szCs w:val="3"/>
                <w:color w:val="auto"/>
              </w:rPr>
            </w:pPr>
          </w:p>
        </w:tc>
        <w:tc>
          <w:tcPr>
            <w:tcW w:w="680" w:type="dxa"/>
            <w:vAlign w:val="bottom"/>
            <w:tcBorders>
              <w:bottom w:val="single" w:sz="8" w:color="auto"/>
              <w:right w:val="single" w:sz="8" w:color="auto"/>
            </w:tcBorders>
          </w:tcPr>
          <w:p>
            <w:pPr>
              <w:spacing w:after="0"/>
              <w:rPr>
                <w:sz w:val="3"/>
                <w:szCs w:val="3"/>
                <w:color w:val="auto"/>
              </w:rPr>
            </w:pPr>
          </w:p>
        </w:tc>
        <w:tc>
          <w:tcPr>
            <w:tcW w:w="520" w:type="dxa"/>
            <w:vAlign w:val="bottom"/>
            <w:tcBorders>
              <w:bottom w:val="single" w:sz="8" w:color="auto"/>
            </w:tcBorders>
          </w:tcPr>
          <w:p>
            <w:pPr>
              <w:spacing w:after="0"/>
              <w:rPr>
                <w:sz w:val="3"/>
                <w:szCs w:val="3"/>
                <w:color w:val="auto"/>
              </w:rPr>
            </w:pPr>
          </w:p>
        </w:tc>
        <w:tc>
          <w:tcPr>
            <w:tcW w:w="160" w:type="dxa"/>
            <w:vAlign w:val="bottom"/>
            <w:tcBorders>
              <w:bottom w:val="single" w:sz="8" w:color="auto"/>
              <w:right w:val="single" w:sz="8" w:color="auto"/>
            </w:tcBorders>
          </w:tcPr>
          <w:p>
            <w:pPr>
              <w:spacing w:after="0"/>
              <w:rPr>
                <w:sz w:val="3"/>
                <w:szCs w:val="3"/>
                <w:color w:val="auto"/>
              </w:rPr>
            </w:pPr>
          </w:p>
        </w:tc>
        <w:tc>
          <w:tcPr>
            <w:tcW w:w="740" w:type="dxa"/>
            <w:vAlign w:val="bottom"/>
            <w:tcBorders>
              <w:bottom w:val="single" w:sz="8" w:color="auto"/>
              <w:right w:val="single" w:sz="8" w:color="auto"/>
            </w:tcBorders>
          </w:tcPr>
          <w:p>
            <w:pPr>
              <w:spacing w:after="0"/>
              <w:rPr>
                <w:sz w:val="3"/>
                <w:szCs w:val="3"/>
                <w:color w:val="auto"/>
              </w:rPr>
            </w:pPr>
          </w:p>
        </w:tc>
        <w:tc>
          <w:tcPr>
            <w:tcW w:w="740" w:type="dxa"/>
            <w:vAlign w:val="bottom"/>
            <w:tcBorders>
              <w:bottom w:val="single" w:sz="8" w:color="auto"/>
              <w:right w:val="single" w:sz="8" w:color="auto"/>
            </w:tcBorders>
          </w:tcPr>
          <w:p>
            <w:pPr>
              <w:spacing w:after="0"/>
              <w:rPr>
                <w:sz w:val="3"/>
                <w:szCs w:val="3"/>
                <w:color w:val="auto"/>
              </w:rPr>
            </w:pPr>
          </w:p>
        </w:tc>
        <w:tc>
          <w:tcPr>
            <w:tcW w:w="84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91"/>
        </w:trPr>
        <w:tc>
          <w:tcPr>
            <w:tcW w:w="5060" w:type="dxa"/>
            <w:vAlign w:val="bottom"/>
            <w:tcBorders>
              <w:left w:val="single" w:sz="8" w:color="auto"/>
              <w:right w:val="single" w:sz="8" w:color="auto"/>
            </w:tcBorders>
          </w:tcPr>
          <w:p>
            <w:pPr>
              <w:ind w:left="20"/>
              <w:spacing w:after="0" w:line="290" w:lineRule="exact"/>
              <w:rPr>
                <w:sz w:val="20"/>
                <w:szCs w:val="20"/>
                <w:color w:val="auto"/>
              </w:rPr>
            </w:pPr>
            <w:r>
              <w:rPr>
                <w:rFonts w:ascii="Times New Roman" w:cs="Times New Roman" w:eastAsia="Times New Roman" w:hAnsi="Times New Roman"/>
                <w:sz w:val="28"/>
                <w:szCs w:val="28"/>
                <w:color w:val="auto"/>
              </w:rPr>
              <w:t>Текущая стоимость EVA остаточного</w:t>
            </w:r>
          </w:p>
        </w:tc>
        <w:tc>
          <w:tcPr>
            <w:tcW w:w="78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520" w:type="dxa"/>
            <w:vAlign w:val="bottom"/>
          </w:tcPr>
          <w:p>
            <w:pPr>
              <w:spacing w:after="0"/>
              <w:rPr>
                <w:sz w:val="24"/>
                <w:szCs w:val="24"/>
                <w:color w:val="auto"/>
              </w:rPr>
            </w:pPr>
          </w:p>
        </w:tc>
        <w:tc>
          <w:tcPr>
            <w:tcW w:w="900" w:type="dxa"/>
            <w:vAlign w:val="bottom"/>
            <w:gridSpan w:val="2"/>
            <w:vMerge w:val="restart"/>
          </w:tcPr>
          <w:p>
            <w:pPr>
              <w:jc w:val="center"/>
              <w:ind w:right="304"/>
              <w:spacing w:after="0"/>
              <w:rPr>
                <w:sz w:val="20"/>
                <w:szCs w:val="20"/>
                <w:color w:val="auto"/>
              </w:rPr>
            </w:pPr>
            <w:r>
              <w:rPr>
                <w:rFonts w:ascii="Times New Roman" w:cs="Times New Roman" w:eastAsia="Times New Roman" w:hAnsi="Times New Roman"/>
                <w:sz w:val="28"/>
                <w:szCs w:val="28"/>
                <w:color w:val="auto"/>
                <w:w w:val="99"/>
              </w:rPr>
              <w:t>138</w:t>
            </w:r>
          </w:p>
        </w:tc>
        <w:tc>
          <w:tcPr>
            <w:tcW w:w="740" w:type="dxa"/>
            <w:vAlign w:val="bottom"/>
          </w:tcPr>
          <w:p>
            <w:pPr>
              <w:spacing w:after="0"/>
              <w:rPr>
                <w:sz w:val="24"/>
                <w:szCs w:val="24"/>
                <w:color w:val="auto"/>
              </w:rPr>
            </w:pPr>
          </w:p>
        </w:tc>
        <w:tc>
          <w:tcPr>
            <w:tcW w:w="84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03"/>
        </w:trPr>
        <w:tc>
          <w:tcPr>
            <w:tcW w:w="5060" w:type="dxa"/>
            <w:vAlign w:val="bottom"/>
            <w:tcBorders>
              <w:left w:val="single" w:sz="8" w:color="auto"/>
              <w:right w:val="single" w:sz="8" w:color="auto"/>
            </w:tcBorders>
            <w:vMerge w:val="restart"/>
          </w:tcPr>
          <w:p>
            <w:pPr>
              <w:ind w:left="20"/>
              <w:spacing w:after="0"/>
              <w:rPr>
                <w:sz w:val="20"/>
                <w:szCs w:val="20"/>
                <w:color w:val="auto"/>
              </w:rPr>
            </w:pPr>
            <w:r>
              <w:rPr>
                <w:rFonts w:ascii="Times New Roman" w:cs="Times New Roman" w:eastAsia="Times New Roman" w:hAnsi="Times New Roman"/>
                <w:sz w:val="28"/>
                <w:szCs w:val="28"/>
                <w:color w:val="auto"/>
              </w:rPr>
              <w:t>периода</w:t>
            </w:r>
          </w:p>
        </w:tc>
        <w:tc>
          <w:tcPr>
            <w:tcW w:w="78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520" w:type="dxa"/>
            <w:vAlign w:val="bottom"/>
          </w:tcPr>
          <w:p>
            <w:pPr>
              <w:spacing w:after="0"/>
              <w:rPr>
                <w:sz w:val="17"/>
                <w:szCs w:val="17"/>
                <w:color w:val="auto"/>
              </w:rPr>
            </w:pPr>
          </w:p>
        </w:tc>
        <w:tc>
          <w:tcPr>
            <w:tcW w:w="900" w:type="dxa"/>
            <w:vAlign w:val="bottom"/>
            <w:gridSpan w:val="2"/>
            <w:vMerge w:val="continue"/>
          </w:tcPr>
          <w:p>
            <w:pPr>
              <w:spacing w:after="0"/>
              <w:rPr>
                <w:sz w:val="17"/>
                <w:szCs w:val="17"/>
                <w:color w:val="auto"/>
              </w:rPr>
            </w:pPr>
          </w:p>
        </w:tc>
        <w:tc>
          <w:tcPr>
            <w:tcW w:w="740" w:type="dxa"/>
            <w:vAlign w:val="bottom"/>
          </w:tcPr>
          <w:p>
            <w:pPr>
              <w:spacing w:after="0"/>
              <w:rPr>
                <w:sz w:val="17"/>
                <w:szCs w:val="17"/>
                <w:color w:val="auto"/>
              </w:rPr>
            </w:pPr>
          </w:p>
        </w:tc>
        <w:tc>
          <w:tcPr>
            <w:tcW w:w="840" w:type="dxa"/>
            <w:vAlign w:val="bottom"/>
            <w:tcBorders>
              <w:right w:val="single" w:sz="8" w:color="auto"/>
            </w:tcBorders>
          </w:tcPr>
          <w:p>
            <w:pPr>
              <w:spacing w:after="0"/>
              <w:rPr>
                <w:sz w:val="17"/>
                <w:szCs w:val="17"/>
                <w:color w:val="auto"/>
              </w:rPr>
            </w:pPr>
          </w:p>
        </w:tc>
        <w:tc>
          <w:tcPr>
            <w:tcW w:w="0" w:type="dxa"/>
            <w:vAlign w:val="bottom"/>
          </w:tcPr>
          <w:p>
            <w:pPr>
              <w:spacing w:after="0"/>
              <w:rPr>
                <w:sz w:val="1"/>
                <w:szCs w:val="1"/>
                <w:color w:val="auto"/>
              </w:rPr>
            </w:pPr>
          </w:p>
        </w:tc>
      </w:tr>
      <w:tr>
        <w:trPr>
          <w:trHeight w:val="140"/>
        </w:trPr>
        <w:tc>
          <w:tcPr>
            <w:tcW w:w="5060" w:type="dxa"/>
            <w:vAlign w:val="bottom"/>
            <w:tcBorders>
              <w:left w:val="single" w:sz="8" w:color="auto"/>
              <w:bottom w:val="single" w:sz="8" w:color="auto"/>
              <w:right w:val="single" w:sz="8" w:color="auto"/>
            </w:tcBorders>
            <w:vMerge w:val="continue"/>
          </w:tcPr>
          <w:p>
            <w:pPr>
              <w:spacing w:after="0"/>
              <w:rPr>
                <w:sz w:val="12"/>
                <w:szCs w:val="12"/>
                <w:color w:val="auto"/>
              </w:rPr>
            </w:pPr>
          </w:p>
        </w:tc>
        <w:tc>
          <w:tcPr>
            <w:tcW w:w="780" w:type="dxa"/>
            <w:vAlign w:val="bottom"/>
            <w:tcBorders>
              <w:bottom w:val="single" w:sz="8" w:color="auto"/>
            </w:tcBorders>
          </w:tcPr>
          <w:p>
            <w:pPr>
              <w:spacing w:after="0"/>
              <w:rPr>
                <w:sz w:val="12"/>
                <w:szCs w:val="12"/>
                <w:color w:val="auto"/>
              </w:rPr>
            </w:pPr>
          </w:p>
        </w:tc>
        <w:tc>
          <w:tcPr>
            <w:tcW w:w="680" w:type="dxa"/>
            <w:vAlign w:val="bottom"/>
            <w:tcBorders>
              <w:bottom w:val="single" w:sz="8" w:color="auto"/>
            </w:tcBorders>
          </w:tcPr>
          <w:p>
            <w:pPr>
              <w:spacing w:after="0"/>
              <w:rPr>
                <w:sz w:val="12"/>
                <w:szCs w:val="12"/>
                <w:color w:val="auto"/>
              </w:rPr>
            </w:pPr>
          </w:p>
        </w:tc>
        <w:tc>
          <w:tcPr>
            <w:tcW w:w="520" w:type="dxa"/>
            <w:vAlign w:val="bottom"/>
            <w:tcBorders>
              <w:bottom w:val="single" w:sz="8" w:color="auto"/>
            </w:tcBorders>
          </w:tcPr>
          <w:p>
            <w:pPr>
              <w:spacing w:after="0"/>
              <w:rPr>
                <w:sz w:val="12"/>
                <w:szCs w:val="12"/>
                <w:color w:val="auto"/>
              </w:rPr>
            </w:pPr>
          </w:p>
        </w:tc>
        <w:tc>
          <w:tcPr>
            <w:tcW w:w="160" w:type="dxa"/>
            <w:vAlign w:val="bottom"/>
            <w:tcBorders>
              <w:bottom w:val="single" w:sz="8" w:color="auto"/>
            </w:tcBorders>
          </w:tcPr>
          <w:p>
            <w:pPr>
              <w:spacing w:after="0"/>
              <w:rPr>
                <w:sz w:val="12"/>
                <w:szCs w:val="12"/>
                <w:color w:val="auto"/>
              </w:rPr>
            </w:pPr>
          </w:p>
        </w:tc>
        <w:tc>
          <w:tcPr>
            <w:tcW w:w="740" w:type="dxa"/>
            <w:vAlign w:val="bottom"/>
            <w:tcBorders>
              <w:bottom w:val="single" w:sz="8" w:color="auto"/>
            </w:tcBorders>
          </w:tcPr>
          <w:p>
            <w:pPr>
              <w:spacing w:after="0"/>
              <w:rPr>
                <w:sz w:val="12"/>
                <w:szCs w:val="12"/>
                <w:color w:val="auto"/>
              </w:rPr>
            </w:pPr>
          </w:p>
        </w:tc>
        <w:tc>
          <w:tcPr>
            <w:tcW w:w="740" w:type="dxa"/>
            <w:vAlign w:val="bottom"/>
            <w:tcBorders>
              <w:bottom w:val="single" w:sz="8" w:color="auto"/>
            </w:tcBorders>
          </w:tcPr>
          <w:p>
            <w:pPr>
              <w:spacing w:after="0"/>
              <w:rPr>
                <w:sz w:val="12"/>
                <w:szCs w:val="12"/>
                <w:color w:val="auto"/>
              </w:rPr>
            </w:pPr>
          </w:p>
        </w:tc>
        <w:tc>
          <w:tcPr>
            <w:tcW w:w="840" w:type="dxa"/>
            <w:vAlign w:val="bottom"/>
            <w:tcBorders>
              <w:bottom w:val="single" w:sz="8" w:color="auto"/>
              <w:right w:val="single" w:sz="8" w:color="auto"/>
            </w:tcBorders>
          </w:tcPr>
          <w:p>
            <w:pPr>
              <w:spacing w:after="0"/>
              <w:rPr>
                <w:sz w:val="12"/>
                <w:szCs w:val="12"/>
                <w:color w:val="auto"/>
              </w:rPr>
            </w:pPr>
          </w:p>
        </w:tc>
        <w:tc>
          <w:tcPr>
            <w:tcW w:w="0" w:type="dxa"/>
            <w:vAlign w:val="bottom"/>
          </w:tcPr>
          <w:p>
            <w:pPr>
              <w:spacing w:after="0"/>
              <w:rPr>
                <w:sz w:val="1"/>
                <w:szCs w:val="1"/>
                <w:color w:val="auto"/>
              </w:rPr>
            </w:pPr>
          </w:p>
        </w:tc>
      </w:tr>
      <w:tr>
        <w:trPr>
          <w:trHeight w:val="291"/>
        </w:trPr>
        <w:tc>
          <w:tcPr>
            <w:tcW w:w="5060" w:type="dxa"/>
            <w:vAlign w:val="bottom"/>
            <w:tcBorders>
              <w:left w:val="single" w:sz="8" w:color="auto"/>
              <w:right w:val="single" w:sz="8" w:color="auto"/>
            </w:tcBorders>
          </w:tcPr>
          <w:p>
            <w:pPr>
              <w:ind w:left="20"/>
              <w:spacing w:after="0" w:line="290" w:lineRule="exact"/>
              <w:rPr>
                <w:sz w:val="20"/>
                <w:szCs w:val="20"/>
                <w:color w:val="auto"/>
              </w:rPr>
            </w:pPr>
            <w:r>
              <w:rPr>
                <w:rFonts w:ascii="Times New Roman" w:cs="Times New Roman" w:eastAsia="Times New Roman" w:hAnsi="Times New Roman"/>
                <w:sz w:val="28"/>
                <w:szCs w:val="28"/>
                <w:color w:val="auto"/>
              </w:rPr>
              <w:t>Стоимость компании (Стоимость</w:t>
            </w:r>
          </w:p>
        </w:tc>
        <w:tc>
          <w:tcPr>
            <w:tcW w:w="78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52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84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22"/>
        </w:trPr>
        <w:tc>
          <w:tcPr>
            <w:tcW w:w="5060" w:type="dxa"/>
            <w:vAlign w:val="bottom"/>
            <w:tcBorders>
              <w:left w:val="single" w:sz="8" w:color="auto"/>
              <w:right w:val="single" w:sz="8" w:color="auto"/>
            </w:tcBorders>
          </w:tcPr>
          <w:p>
            <w:pPr>
              <w:ind w:left="20"/>
              <w:spacing w:after="0"/>
              <w:rPr>
                <w:sz w:val="20"/>
                <w:szCs w:val="20"/>
                <w:color w:val="auto"/>
              </w:rPr>
            </w:pPr>
            <w:r>
              <w:rPr>
                <w:rFonts w:ascii="Times New Roman" w:cs="Times New Roman" w:eastAsia="Times New Roman" w:hAnsi="Times New Roman"/>
                <w:sz w:val="28"/>
                <w:szCs w:val="28"/>
                <w:color w:val="auto"/>
              </w:rPr>
              <w:t>первоначального инвестированного</w:t>
            </w:r>
          </w:p>
        </w:tc>
        <w:tc>
          <w:tcPr>
            <w:tcW w:w="78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1420" w:type="dxa"/>
            <w:vAlign w:val="bottom"/>
            <w:gridSpan w:val="3"/>
          </w:tcPr>
          <w:p>
            <w:pPr>
              <w:jc w:val="center"/>
              <w:spacing w:after="0"/>
              <w:rPr>
                <w:sz w:val="20"/>
                <w:szCs w:val="20"/>
                <w:color w:val="auto"/>
              </w:rPr>
            </w:pPr>
            <w:r>
              <w:rPr>
                <w:rFonts w:ascii="Times New Roman" w:cs="Times New Roman" w:eastAsia="Times New Roman" w:hAnsi="Times New Roman"/>
                <w:sz w:val="28"/>
                <w:szCs w:val="28"/>
                <w:color w:val="auto"/>
                <w:w w:val="99"/>
              </w:rPr>
              <w:t>1606</w:t>
            </w:r>
          </w:p>
        </w:tc>
        <w:tc>
          <w:tcPr>
            <w:tcW w:w="740" w:type="dxa"/>
            <w:vAlign w:val="bottom"/>
          </w:tcPr>
          <w:p>
            <w:pPr>
              <w:spacing w:after="0"/>
              <w:rPr>
                <w:sz w:val="24"/>
                <w:szCs w:val="24"/>
                <w:color w:val="auto"/>
              </w:rPr>
            </w:pPr>
          </w:p>
        </w:tc>
        <w:tc>
          <w:tcPr>
            <w:tcW w:w="84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43"/>
        </w:trPr>
        <w:tc>
          <w:tcPr>
            <w:tcW w:w="5060" w:type="dxa"/>
            <w:vAlign w:val="bottom"/>
            <w:tcBorders>
              <w:left w:val="single" w:sz="8" w:color="auto"/>
              <w:bottom w:val="single" w:sz="8" w:color="auto"/>
              <w:right w:val="single" w:sz="8" w:color="auto"/>
            </w:tcBorders>
          </w:tcPr>
          <w:p>
            <w:pPr>
              <w:ind w:left="20"/>
              <w:spacing w:after="0"/>
              <w:rPr>
                <w:sz w:val="20"/>
                <w:szCs w:val="20"/>
                <w:color w:val="auto"/>
              </w:rPr>
            </w:pPr>
            <w:r>
              <w:rPr>
                <w:rFonts w:ascii="Times New Roman" w:cs="Times New Roman" w:eastAsia="Times New Roman" w:hAnsi="Times New Roman"/>
                <w:sz w:val="28"/>
                <w:szCs w:val="28"/>
                <w:color w:val="auto"/>
              </w:rPr>
              <w:t>капитала + Накопленная SVA)</w:t>
            </w:r>
          </w:p>
        </w:tc>
        <w:tc>
          <w:tcPr>
            <w:tcW w:w="78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740" w:type="dxa"/>
            <w:vAlign w:val="bottom"/>
            <w:tcBorders>
              <w:bottom w:val="single" w:sz="8" w:color="auto"/>
            </w:tcBorders>
          </w:tcPr>
          <w:p>
            <w:pPr>
              <w:spacing w:after="0"/>
              <w:rPr>
                <w:sz w:val="24"/>
                <w:szCs w:val="24"/>
                <w:color w:val="auto"/>
              </w:rPr>
            </w:pPr>
          </w:p>
        </w:tc>
        <w:tc>
          <w:tcPr>
            <w:tcW w:w="740" w:type="dxa"/>
            <w:vAlign w:val="bottom"/>
            <w:tcBorders>
              <w:bottom w:val="single" w:sz="8" w:color="auto"/>
            </w:tcBorders>
          </w:tcPr>
          <w:p>
            <w:pPr>
              <w:spacing w:after="0"/>
              <w:rPr>
                <w:sz w:val="24"/>
                <w:szCs w:val="24"/>
                <w:color w:val="auto"/>
              </w:rPr>
            </w:pPr>
          </w:p>
        </w:tc>
        <w:tc>
          <w:tcPr>
            <w:tcW w:w="84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12"/>
        </w:trPr>
        <w:tc>
          <w:tcPr>
            <w:tcW w:w="5060" w:type="dxa"/>
            <w:vAlign w:val="bottom"/>
            <w:tcBorders>
              <w:left w:val="single" w:sz="8" w:color="auto"/>
              <w:bottom w:val="single" w:sz="8" w:color="auto"/>
              <w:right w:val="single" w:sz="8" w:color="auto"/>
            </w:tcBorders>
          </w:tcPr>
          <w:p>
            <w:pPr>
              <w:ind w:left="20"/>
              <w:spacing w:after="0" w:line="312" w:lineRule="exact"/>
              <w:rPr>
                <w:sz w:val="20"/>
                <w:szCs w:val="20"/>
                <w:color w:val="auto"/>
              </w:rPr>
            </w:pPr>
            <w:r>
              <w:rPr>
                <w:rFonts w:ascii="Times New Roman" w:cs="Times New Roman" w:eastAsia="Times New Roman" w:hAnsi="Times New Roman"/>
                <w:sz w:val="28"/>
                <w:szCs w:val="28"/>
                <w:color w:val="auto"/>
              </w:rPr>
              <w:t>Денежный поток (CF)</w:t>
            </w:r>
          </w:p>
        </w:tc>
        <w:tc>
          <w:tcPr>
            <w:tcW w:w="780" w:type="dxa"/>
            <w:vAlign w:val="bottom"/>
            <w:tcBorders>
              <w:bottom w:val="single" w:sz="8" w:color="auto"/>
              <w:right w:val="single" w:sz="8" w:color="auto"/>
            </w:tcBorders>
          </w:tcPr>
          <w:p>
            <w:pPr>
              <w:jc w:val="center"/>
              <w:spacing w:after="0" w:line="312" w:lineRule="exact"/>
              <w:rPr>
                <w:sz w:val="20"/>
                <w:szCs w:val="20"/>
                <w:color w:val="auto"/>
              </w:rPr>
            </w:pPr>
            <w:r>
              <w:rPr>
                <w:rFonts w:ascii="Times New Roman" w:cs="Times New Roman" w:eastAsia="Times New Roman" w:hAnsi="Times New Roman"/>
                <w:sz w:val="28"/>
                <w:szCs w:val="28"/>
                <w:color w:val="auto"/>
                <w:w w:val="99"/>
              </w:rPr>
              <w:t>152</w:t>
            </w:r>
          </w:p>
        </w:tc>
        <w:tc>
          <w:tcPr>
            <w:tcW w:w="680" w:type="dxa"/>
            <w:vAlign w:val="bottom"/>
            <w:tcBorders>
              <w:bottom w:val="single" w:sz="8" w:color="auto"/>
              <w:right w:val="single" w:sz="8" w:color="auto"/>
            </w:tcBorders>
          </w:tcPr>
          <w:p>
            <w:pPr>
              <w:jc w:val="center"/>
              <w:spacing w:after="0" w:line="312" w:lineRule="exact"/>
              <w:rPr>
                <w:sz w:val="20"/>
                <w:szCs w:val="20"/>
                <w:color w:val="auto"/>
              </w:rPr>
            </w:pPr>
            <w:r>
              <w:rPr>
                <w:rFonts w:ascii="Times New Roman" w:cs="Times New Roman" w:eastAsia="Times New Roman" w:hAnsi="Times New Roman"/>
                <w:sz w:val="28"/>
                <w:szCs w:val="28"/>
                <w:color w:val="auto"/>
                <w:w w:val="99"/>
              </w:rPr>
              <w:t>82</w:t>
            </w:r>
          </w:p>
        </w:tc>
        <w:tc>
          <w:tcPr>
            <w:tcW w:w="520" w:type="dxa"/>
            <w:vAlign w:val="bottom"/>
            <w:tcBorders>
              <w:bottom w:val="single" w:sz="8" w:color="auto"/>
            </w:tcBorders>
          </w:tcPr>
          <w:p>
            <w:pPr>
              <w:jc w:val="center"/>
              <w:spacing w:after="0" w:line="312" w:lineRule="exact"/>
              <w:rPr>
                <w:sz w:val="20"/>
                <w:szCs w:val="20"/>
                <w:color w:val="auto"/>
              </w:rPr>
            </w:pPr>
            <w:r>
              <w:rPr>
                <w:rFonts w:ascii="Times New Roman" w:cs="Times New Roman" w:eastAsia="Times New Roman" w:hAnsi="Times New Roman"/>
                <w:sz w:val="28"/>
                <w:szCs w:val="28"/>
                <w:color w:val="auto"/>
                <w:w w:val="99"/>
              </w:rPr>
              <w:t>628</w:t>
            </w:r>
          </w:p>
        </w:tc>
        <w:tc>
          <w:tcPr>
            <w:tcW w:w="160" w:type="dxa"/>
            <w:vAlign w:val="bottom"/>
            <w:tcBorders>
              <w:bottom w:val="single" w:sz="8" w:color="auto"/>
              <w:right w:val="single" w:sz="8" w:color="auto"/>
            </w:tcBorders>
          </w:tcPr>
          <w:p>
            <w:pPr>
              <w:spacing w:after="0"/>
              <w:rPr>
                <w:sz w:val="24"/>
                <w:szCs w:val="24"/>
                <w:color w:val="auto"/>
              </w:rPr>
            </w:pPr>
          </w:p>
        </w:tc>
        <w:tc>
          <w:tcPr>
            <w:tcW w:w="740" w:type="dxa"/>
            <w:vAlign w:val="bottom"/>
            <w:tcBorders>
              <w:bottom w:val="single" w:sz="8" w:color="auto"/>
              <w:right w:val="single" w:sz="8" w:color="auto"/>
            </w:tcBorders>
          </w:tcPr>
          <w:p>
            <w:pPr>
              <w:jc w:val="center"/>
              <w:spacing w:after="0" w:line="312" w:lineRule="exact"/>
              <w:rPr>
                <w:sz w:val="20"/>
                <w:szCs w:val="20"/>
                <w:color w:val="auto"/>
              </w:rPr>
            </w:pPr>
            <w:r>
              <w:rPr>
                <w:rFonts w:ascii="Times New Roman" w:cs="Times New Roman" w:eastAsia="Times New Roman" w:hAnsi="Times New Roman"/>
                <w:sz w:val="28"/>
                <w:szCs w:val="28"/>
                <w:color w:val="auto"/>
                <w:w w:val="99"/>
              </w:rPr>
              <w:t>228</w:t>
            </w:r>
          </w:p>
        </w:tc>
        <w:tc>
          <w:tcPr>
            <w:tcW w:w="740" w:type="dxa"/>
            <w:vAlign w:val="bottom"/>
            <w:tcBorders>
              <w:bottom w:val="single" w:sz="8" w:color="auto"/>
              <w:right w:val="single" w:sz="8" w:color="auto"/>
            </w:tcBorders>
          </w:tcPr>
          <w:p>
            <w:pPr>
              <w:jc w:val="center"/>
              <w:spacing w:after="0" w:line="312" w:lineRule="exact"/>
              <w:rPr>
                <w:sz w:val="20"/>
                <w:szCs w:val="20"/>
                <w:color w:val="auto"/>
              </w:rPr>
            </w:pPr>
            <w:r>
              <w:rPr>
                <w:rFonts w:ascii="Times New Roman" w:cs="Times New Roman" w:eastAsia="Times New Roman" w:hAnsi="Times New Roman"/>
                <w:sz w:val="28"/>
                <w:szCs w:val="28"/>
                <w:color w:val="auto"/>
                <w:w w:val="99"/>
              </w:rPr>
              <w:t>228</w:t>
            </w:r>
          </w:p>
        </w:tc>
        <w:tc>
          <w:tcPr>
            <w:tcW w:w="840" w:type="dxa"/>
            <w:vAlign w:val="bottom"/>
            <w:tcBorders>
              <w:bottom w:val="single" w:sz="8" w:color="auto"/>
              <w:right w:val="single" w:sz="8" w:color="auto"/>
            </w:tcBorders>
          </w:tcPr>
          <w:p>
            <w:pPr>
              <w:jc w:val="center"/>
              <w:spacing w:after="0" w:line="312" w:lineRule="exact"/>
              <w:rPr>
                <w:sz w:val="20"/>
                <w:szCs w:val="20"/>
                <w:color w:val="auto"/>
              </w:rPr>
            </w:pPr>
            <w:r>
              <w:rPr>
                <w:rFonts w:ascii="Times New Roman" w:cs="Times New Roman" w:eastAsia="Times New Roman" w:hAnsi="Times New Roman"/>
                <w:sz w:val="28"/>
                <w:szCs w:val="28"/>
                <w:color w:val="auto"/>
                <w:w w:val="99"/>
              </w:rPr>
              <w:t>228</w:t>
            </w:r>
          </w:p>
        </w:tc>
        <w:tc>
          <w:tcPr>
            <w:tcW w:w="0" w:type="dxa"/>
            <w:vAlign w:val="bottom"/>
          </w:tcPr>
          <w:p>
            <w:pPr>
              <w:spacing w:after="0"/>
              <w:rPr>
                <w:sz w:val="1"/>
                <w:szCs w:val="1"/>
                <w:color w:val="auto"/>
              </w:rPr>
            </w:pPr>
          </w:p>
        </w:tc>
      </w:tr>
      <w:tr>
        <w:trPr>
          <w:trHeight w:val="335"/>
        </w:trPr>
        <w:tc>
          <w:tcPr>
            <w:tcW w:w="5060" w:type="dxa"/>
            <w:vAlign w:val="bottom"/>
            <w:tcBorders>
              <w:left w:val="single" w:sz="8" w:color="auto"/>
              <w:bottom w:val="single" w:sz="8" w:color="auto"/>
              <w:right w:val="single" w:sz="8" w:color="auto"/>
            </w:tcBorders>
          </w:tcPr>
          <w:p>
            <w:pPr>
              <w:ind w:left="20"/>
              <w:spacing w:after="0"/>
              <w:rPr>
                <w:sz w:val="20"/>
                <w:szCs w:val="20"/>
                <w:color w:val="auto"/>
              </w:rPr>
            </w:pPr>
            <w:r>
              <w:rPr>
                <w:rFonts w:ascii="Times New Roman" w:cs="Times New Roman" w:eastAsia="Times New Roman" w:hAnsi="Times New Roman"/>
                <w:sz w:val="28"/>
                <w:szCs w:val="28"/>
                <w:color w:val="auto"/>
              </w:rPr>
              <w:t>Текущая стоимость CF</w:t>
            </w:r>
          </w:p>
        </w:tc>
        <w:tc>
          <w:tcPr>
            <w:tcW w:w="78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8"/>
                <w:szCs w:val="28"/>
                <w:color w:val="auto"/>
                <w:w w:val="99"/>
              </w:rPr>
              <w:t>132</w:t>
            </w:r>
          </w:p>
        </w:tc>
        <w:tc>
          <w:tcPr>
            <w:tcW w:w="68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8"/>
                <w:szCs w:val="28"/>
                <w:color w:val="auto"/>
                <w:w w:val="99"/>
              </w:rPr>
              <w:t>62</w:t>
            </w:r>
          </w:p>
        </w:tc>
        <w:tc>
          <w:tcPr>
            <w:tcW w:w="52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28"/>
                <w:szCs w:val="28"/>
                <w:color w:val="auto"/>
                <w:w w:val="99"/>
              </w:rPr>
              <w:t>413</w:t>
            </w:r>
          </w:p>
        </w:tc>
        <w:tc>
          <w:tcPr>
            <w:tcW w:w="160" w:type="dxa"/>
            <w:vAlign w:val="bottom"/>
            <w:tcBorders>
              <w:bottom w:val="single" w:sz="8" w:color="auto"/>
              <w:right w:val="single" w:sz="8" w:color="auto"/>
            </w:tcBorders>
          </w:tcPr>
          <w:p>
            <w:pPr>
              <w:spacing w:after="0"/>
              <w:rPr>
                <w:sz w:val="24"/>
                <w:szCs w:val="24"/>
                <w:color w:val="auto"/>
              </w:rPr>
            </w:pPr>
          </w:p>
        </w:tc>
        <w:tc>
          <w:tcPr>
            <w:tcW w:w="74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8"/>
                <w:szCs w:val="28"/>
                <w:color w:val="auto"/>
                <w:w w:val="99"/>
              </w:rPr>
              <w:t>130</w:t>
            </w:r>
          </w:p>
        </w:tc>
        <w:tc>
          <w:tcPr>
            <w:tcW w:w="74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8"/>
                <w:szCs w:val="28"/>
                <w:color w:val="auto"/>
                <w:w w:val="99"/>
              </w:rPr>
              <w:t>113</w:t>
            </w:r>
          </w:p>
        </w:tc>
        <w:tc>
          <w:tcPr>
            <w:tcW w:w="84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8"/>
                <w:szCs w:val="28"/>
                <w:color w:val="auto"/>
                <w:w w:val="99"/>
              </w:rPr>
              <w:t>99</w:t>
            </w:r>
          </w:p>
        </w:tc>
        <w:tc>
          <w:tcPr>
            <w:tcW w:w="0" w:type="dxa"/>
            <w:vAlign w:val="bottom"/>
          </w:tcPr>
          <w:p>
            <w:pPr>
              <w:spacing w:after="0"/>
              <w:rPr>
                <w:sz w:val="1"/>
                <w:szCs w:val="1"/>
                <w:color w:val="auto"/>
              </w:rPr>
            </w:pPr>
          </w:p>
        </w:tc>
      </w:tr>
      <w:tr>
        <w:trPr>
          <w:trHeight w:val="335"/>
        </w:trPr>
        <w:tc>
          <w:tcPr>
            <w:tcW w:w="5060" w:type="dxa"/>
            <w:vAlign w:val="bottom"/>
            <w:tcBorders>
              <w:left w:val="single" w:sz="8" w:color="auto"/>
              <w:bottom w:val="single" w:sz="8" w:color="auto"/>
              <w:right w:val="single" w:sz="8" w:color="auto"/>
            </w:tcBorders>
          </w:tcPr>
          <w:p>
            <w:pPr>
              <w:ind w:left="20"/>
              <w:spacing w:after="0"/>
              <w:rPr>
                <w:sz w:val="20"/>
                <w:szCs w:val="20"/>
                <w:color w:val="auto"/>
              </w:rPr>
            </w:pPr>
            <w:r>
              <w:rPr>
                <w:rFonts w:ascii="Times New Roman" w:cs="Times New Roman" w:eastAsia="Times New Roman" w:hAnsi="Times New Roman"/>
                <w:sz w:val="28"/>
                <w:szCs w:val="28"/>
                <w:color w:val="auto"/>
              </w:rPr>
              <w:t>Текущая стоимость остаточного периода</w:t>
            </w:r>
          </w:p>
        </w:tc>
        <w:tc>
          <w:tcPr>
            <w:tcW w:w="78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740" w:type="dxa"/>
            <w:vAlign w:val="bottom"/>
            <w:tcBorders>
              <w:bottom w:val="single" w:sz="8" w:color="auto"/>
            </w:tcBorders>
          </w:tcPr>
          <w:p>
            <w:pPr>
              <w:jc w:val="right"/>
              <w:ind w:right="324"/>
              <w:spacing w:after="0"/>
              <w:rPr>
                <w:sz w:val="20"/>
                <w:szCs w:val="20"/>
                <w:color w:val="auto"/>
              </w:rPr>
            </w:pPr>
            <w:r>
              <w:rPr>
                <w:rFonts w:ascii="Times New Roman" w:cs="Times New Roman" w:eastAsia="Times New Roman" w:hAnsi="Times New Roman"/>
                <w:sz w:val="24"/>
                <w:szCs w:val="24"/>
                <w:color w:val="auto"/>
                <w:w w:val="72"/>
              </w:rPr>
              <w:t>657</w:t>
            </w:r>
          </w:p>
        </w:tc>
        <w:tc>
          <w:tcPr>
            <w:tcW w:w="740" w:type="dxa"/>
            <w:vAlign w:val="bottom"/>
            <w:tcBorders>
              <w:bottom w:val="single" w:sz="8" w:color="auto"/>
            </w:tcBorders>
          </w:tcPr>
          <w:p>
            <w:pPr>
              <w:spacing w:after="0"/>
              <w:rPr>
                <w:sz w:val="24"/>
                <w:szCs w:val="24"/>
                <w:color w:val="auto"/>
              </w:rPr>
            </w:pPr>
          </w:p>
        </w:tc>
        <w:tc>
          <w:tcPr>
            <w:tcW w:w="84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39"/>
        </w:trPr>
        <w:tc>
          <w:tcPr>
            <w:tcW w:w="5060" w:type="dxa"/>
            <w:vAlign w:val="bottom"/>
            <w:tcBorders>
              <w:left w:val="single" w:sz="8" w:color="auto"/>
              <w:bottom w:val="single" w:sz="8" w:color="auto"/>
              <w:right w:val="single" w:sz="8" w:color="auto"/>
            </w:tcBorders>
          </w:tcPr>
          <w:p>
            <w:pPr>
              <w:ind w:left="20"/>
              <w:spacing w:after="0"/>
              <w:rPr>
                <w:sz w:val="20"/>
                <w:szCs w:val="20"/>
                <w:color w:val="auto"/>
              </w:rPr>
            </w:pPr>
            <w:r>
              <w:rPr>
                <w:rFonts w:ascii="Times New Roman" w:cs="Times New Roman" w:eastAsia="Times New Roman" w:hAnsi="Times New Roman"/>
                <w:sz w:val="28"/>
                <w:szCs w:val="28"/>
                <w:color w:val="auto"/>
              </w:rPr>
              <w:t>Стоимость компании</w:t>
            </w:r>
          </w:p>
        </w:tc>
        <w:tc>
          <w:tcPr>
            <w:tcW w:w="78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1420" w:type="dxa"/>
            <w:vAlign w:val="bottom"/>
            <w:tcBorders>
              <w:bottom w:val="single" w:sz="8" w:color="auto"/>
            </w:tcBorders>
            <w:gridSpan w:val="3"/>
          </w:tcPr>
          <w:p>
            <w:pPr>
              <w:jc w:val="center"/>
              <w:spacing w:after="0"/>
              <w:rPr>
                <w:sz w:val="20"/>
                <w:szCs w:val="20"/>
                <w:color w:val="auto"/>
              </w:rPr>
            </w:pPr>
            <w:r>
              <w:rPr>
                <w:rFonts w:ascii="Times New Roman" w:cs="Times New Roman" w:eastAsia="Times New Roman" w:hAnsi="Times New Roman"/>
                <w:sz w:val="28"/>
                <w:szCs w:val="28"/>
                <w:color w:val="auto"/>
                <w:w w:val="99"/>
              </w:rPr>
              <w:t>1606</w:t>
            </w:r>
          </w:p>
        </w:tc>
        <w:tc>
          <w:tcPr>
            <w:tcW w:w="740" w:type="dxa"/>
            <w:vAlign w:val="bottom"/>
            <w:tcBorders>
              <w:bottom w:val="single" w:sz="8" w:color="auto"/>
            </w:tcBorders>
          </w:tcPr>
          <w:p>
            <w:pPr>
              <w:spacing w:after="0"/>
              <w:rPr>
                <w:sz w:val="24"/>
                <w:szCs w:val="24"/>
                <w:color w:val="auto"/>
              </w:rPr>
            </w:pPr>
          </w:p>
        </w:tc>
        <w:tc>
          <w:tcPr>
            <w:tcW w:w="84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pacing w:after="0" w:line="301" w:lineRule="exact"/>
        <w:rPr>
          <w:sz w:val="20"/>
          <w:szCs w:val="20"/>
          <w:color w:val="auto"/>
        </w:rPr>
      </w:pPr>
    </w:p>
    <w:p>
      <w:pPr>
        <w:ind w:left="260" w:right="140" w:firstLine="720"/>
        <w:spacing w:after="0" w:line="239" w:lineRule="auto"/>
        <w:rPr>
          <w:sz w:val="20"/>
          <w:szCs w:val="20"/>
          <w:color w:val="auto"/>
        </w:rPr>
      </w:pPr>
      <w:r>
        <w:rPr>
          <w:rFonts w:ascii="Times New Roman" w:cs="Times New Roman" w:eastAsia="Times New Roman" w:hAnsi="Times New Roman"/>
          <w:sz w:val="28"/>
          <w:szCs w:val="28"/>
          <w:color w:val="auto"/>
        </w:rPr>
        <w:t>Результаты расчета стоимости компании методом дисконтирования «бездолгового» денежного потока (FCF) приведены в табл. 6.5.</w:t>
      </w:r>
    </w:p>
    <w:p>
      <w:pPr>
        <w:spacing w:after="0" w:line="2" w:lineRule="exact"/>
        <w:rPr>
          <w:sz w:val="20"/>
          <w:szCs w:val="20"/>
          <w:color w:val="auto"/>
        </w:rPr>
      </w:pPr>
    </w:p>
    <w:p>
      <w:pPr>
        <w:ind w:left="8200"/>
        <w:spacing w:after="0"/>
        <w:rPr>
          <w:sz w:val="20"/>
          <w:szCs w:val="20"/>
          <w:color w:val="auto"/>
        </w:rPr>
      </w:pPr>
      <w:r>
        <w:rPr>
          <w:rFonts w:ascii="Times New Roman" w:cs="Times New Roman" w:eastAsia="Times New Roman" w:hAnsi="Times New Roman"/>
          <w:sz w:val="28"/>
          <w:szCs w:val="28"/>
          <w:color w:val="auto"/>
        </w:rPr>
        <w:t>Таблица 6.5</w:t>
      </w:r>
    </w:p>
    <w:p>
      <w:pPr>
        <w:ind w:left="780"/>
        <w:spacing w:after="0"/>
        <w:rPr>
          <w:sz w:val="20"/>
          <w:szCs w:val="20"/>
          <w:color w:val="auto"/>
        </w:rPr>
      </w:pPr>
      <w:r>
        <w:rPr>
          <w:rFonts w:ascii="Times New Roman" w:cs="Times New Roman" w:eastAsia="Times New Roman" w:hAnsi="Times New Roman"/>
          <w:sz w:val="28"/>
          <w:szCs w:val="28"/>
          <w:color w:val="auto"/>
        </w:rPr>
        <w:t>Результаты расчета оценки стоимости компании методом ДДП, долл.</w:t>
      </w:r>
    </w:p>
    <w:p>
      <w:pPr>
        <w:spacing w:after="0" w:line="10" w:lineRule="exact"/>
        <w:rPr>
          <w:sz w:val="20"/>
          <w:szCs w:val="20"/>
          <w:color w:val="auto"/>
        </w:rPr>
      </w:pPr>
    </w:p>
    <w:tbl>
      <w:tblPr>
        <w:tblLayout w:type="fixed"/>
        <w:tblInd w:w="260" w:type="dxa"/>
        <w:tblCellMar>
          <w:top w:w="0" w:type="dxa"/>
          <w:left w:w="0" w:type="dxa"/>
          <w:bottom w:w="0" w:type="dxa"/>
          <w:right w:w="0" w:type="dxa"/>
        </w:tblCellMar>
      </w:tblPr>
      <w:tr>
        <w:trPr>
          <w:trHeight w:val="332"/>
        </w:trPr>
        <w:tc>
          <w:tcPr>
            <w:tcW w:w="4880" w:type="dxa"/>
            <w:vAlign w:val="bottom"/>
            <w:vMerge w:val="restart"/>
          </w:tcPr>
          <w:p>
            <w:pPr>
              <w:ind w:left="1980"/>
              <w:spacing w:after="0"/>
              <w:rPr>
                <w:sz w:val="20"/>
                <w:szCs w:val="20"/>
                <w:color w:val="auto"/>
              </w:rPr>
            </w:pPr>
            <w:r>
              <w:rPr>
                <w:rFonts w:ascii="Times New Roman" w:cs="Times New Roman" w:eastAsia="Times New Roman" w:hAnsi="Times New Roman"/>
                <w:sz w:val="28"/>
                <w:szCs w:val="28"/>
                <w:color w:val="auto"/>
              </w:rPr>
              <w:t>Показатель</w:t>
            </w:r>
          </w:p>
        </w:tc>
        <w:tc>
          <w:tcPr>
            <w:tcW w:w="92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1480" w:type="dxa"/>
            <w:vAlign w:val="bottom"/>
            <w:gridSpan w:val="2"/>
          </w:tcPr>
          <w:p>
            <w:pPr>
              <w:ind w:left="560"/>
              <w:spacing w:after="0"/>
              <w:rPr>
                <w:sz w:val="20"/>
                <w:szCs w:val="20"/>
                <w:color w:val="auto"/>
              </w:rPr>
            </w:pPr>
            <w:r>
              <w:rPr>
                <w:rFonts w:ascii="Times New Roman" w:cs="Times New Roman" w:eastAsia="Times New Roman" w:hAnsi="Times New Roman"/>
                <w:sz w:val="28"/>
                <w:szCs w:val="28"/>
                <w:color w:val="auto"/>
              </w:rPr>
              <w:t>Годы</w:t>
            </w:r>
          </w:p>
        </w:tc>
        <w:tc>
          <w:tcPr>
            <w:tcW w:w="72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7"/>
        </w:trPr>
        <w:tc>
          <w:tcPr>
            <w:tcW w:w="4880" w:type="dxa"/>
            <w:vAlign w:val="bottom"/>
            <w:vMerge w:val="continue"/>
          </w:tcPr>
          <w:p>
            <w:pPr>
              <w:spacing w:after="0"/>
              <w:rPr>
                <w:sz w:val="17"/>
                <w:szCs w:val="17"/>
                <w:color w:val="auto"/>
              </w:rPr>
            </w:pPr>
          </w:p>
        </w:tc>
        <w:tc>
          <w:tcPr>
            <w:tcW w:w="920" w:type="dxa"/>
            <w:vAlign w:val="bottom"/>
            <w:vMerge w:val="restart"/>
          </w:tcPr>
          <w:p>
            <w:pPr>
              <w:jc w:val="right"/>
              <w:ind w:right="160"/>
              <w:spacing w:after="0"/>
              <w:rPr>
                <w:sz w:val="20"/>
                <w:szCs w:val="20"/>
                <w:color w:val="auto"/>
              </w:rPr>
            </w:pPr>
            <w:r>
              <w:rPr>
                <w:rFonts w:ascii="Times New Roman" w:cs="Times New Roman" w:eastAsia="Times New Roman" w:hAnsi="Times New Roman"/>
                <w:sz w:val="28"/>
                <w:szCs w:val="28"/>
                <w:color w:val="auto"/>
              </w:rPr>
              <w:t>1</w:t>
            </w:r>
          </w:p>
        </w:tc>
        <w:tc>
          <w:tcPr>
            <w:tcW w:w="680" w:type="dxa"/>
            <w:vAlign w:val="bottom"/>
            <w:vMerge w:val="restart"/>
          </w:tcPr>
          <w:p>
            <w:pPr>
              <w:jc w:val="right"/>
              <w:ind w:right="100"/>
              <w:spacing w:after="0"/>
              <w:rPr>
                <w:sz w:val="20"/>
                <w:szCs w:val="20"/>
                <w:color w:val="auto"/>
              </w:rPr>
            </w:pPr>
            <w:r>
              <w:rPr>
                <w:rFonts w:ascii="Times New Roman" w:cs="Times New Roman" w:eastAsia="Times New Roman" w:hAnsi="Times New Roman"/>
                <w:sz w:val="28"/>
                <w:szCs w:val="28"/>
                <w:color w:val="auto"/>
              </w:rPr>
              <w:t>2</w:t>
            </w:r>
          </w:p>
        </w:tc>
        <w:tc>
          <w:tcPr>
            <w:tcW w:w="740" w:type="dxa"/>
            <w:vAlign w:val="bottom"/>
            <w:vMerge w:val="restart"/>
          </w:tcPr>
          <w:p>
            <w:pPr>
              <w:jc w:val="right"/>
              <w:ind w:right="160"/>
              <w:spacing w:after="0"/>
              <w:rPr>
                <w:sz w:val="20"/>
                <w:szCs w:val="20"/>
                <w:color w:val="auto"/>
              </w:rPr>
            </w:pPr>
            <w:r>
              <w:rPr>
                <w:rFonts w:ascii="Times New Roman" w:cs="Times New Roman" w:eastAsia="Times New Roman" w:hAnsi="Times New Roman"/>
                <w:sz w:val="28"/>
                <w:szCs w:val="28"/>
                <w:color w:val="auto"/>
              </w:rPr>
              <w:t>3</w:t>
            </w:r>
          </w:p>
        </w:tc>
        <w:tc>
          <w:tcPr>
            <w:tcW w:w="740" w:type="dxa"/>
            <w:vAlign w:val="bottom"/>
            <w:vMerge w:val="restart"/>
          </w:tcPr>
          <w:p>
            <w:pPr>
              <w:jc w:val="right"/>
              <w:ind w:right="180"/>
              <w:spacing w:after="0"/>
              <w:rPr>
                <w:sz w:val="20"/>
                <w:szCs w:val="20"/>
                <w:color w:val="auto"/>
              </w:rPr>
            </w:pPr>
            <w:r>
              <w:rPr>
                <w:rFonts w:ascii="Times New Roman" w:cs="Times New Roman" w:eastAsia="Times New Roman" w:hAnsi="Times New Roman"/>
                <w:sz w:val="28"/>
                <w:szCs w:val="28"/>
                <w:color w:val="auto"/>
              </w:rPr>
              <w:t>4</w:t>
            </w:r>
          </w:p>
        </w:tc>
        <w:tc>
          <w:tcPr>
            <w:tcW w:w="720" w:type="dxa"/>
            <w:vAlign w:val="bottom"/>
            <w:vMerge w:val="restart"/>
          </w:tcPr>
          <w:p>
            <w:pPr>
              <w:jc w:val="right"/>
              <w:ind w:right="140"/>
              <w:spacing w:after="0"/>
              <w:rPr>
                <w:sz w:val="20"/>
                <w:szCs w:val="20"/>
                <w:color w:val="auto"/>
              </w:rPr>
            </w:pPr>
            <w:r>
              <w:rPr>
                <w:rFonts w:ascii="Times New Roman" w:cs="Times New Roman" w:eastAsia="Times New Roman" w:hAnsi="Times New Roman"/>
                <w:sz w:val="28"/>
                <w:szCs w:val="28"/>
                <w:color w:val="auto"/>
              </w:rPr>
              <w:t>5</w:t>
            </w:r>
          </w:p>
        </w:tc>
        <w:tc>
          <w:tcPr>
            <w:tcW w:w="640" w:type="dxa"/>
            <w:vAlign w:val="bottom"/>
            <w:vMerge w:val="restart"/>
          </w:tcPr>
          <w:p>
            <w:pPr>
              <w:jc w:val="right"/>
              <w:ind w:right="80"/>
              <w:spacing w:after="0"/>
              <w:rPr>
                <w:sz w:val="20"/>
                <w:szCs w:val="20"/>
                <w:color w:val="auto"/>
              </w:rPr>
            </w:pPr>
            <w:r>
              <w:rPr>
                <w:rFonts w:ascii="Times New Roman" w:cs="Times New Roman" w:eastAsia="Times New Roman" w:hAnsi="Times New Roman"/>
                <w:sz w:val="28"/>
                <w:szCs w:val="28"/>
                <w:color w:val="auto"/>
              </w:rPr>
              <w:t>6</w:t>
            </w:r>
          </w:p>
        </w:tc>
        <w:tc>
          <w:tcPr>
            <w:tcW w:w="0" w:type="dxa"/>
            <w:vAlign w:val="bottom"/>
          </w:tcPr>
          <w:p>
            <w:pPr>
              <w:spacing w:after="0"/>
              <w:rPr>
                <w:sz w:val="1"/>
                <w:szCs w:val="1"/>
                <w:color w:val="auto"/>
              </w:rPr>
            </w:pPr>
          </w:p>
        </w:tc>
      </w:tr>
      <w:tr>
        <w:trPr>
          <w:trHeight w:val="134"/>
        </w:trPr>
        <w:tc>
          <w:tcPr>
            <w:tcW w:w="4880" w:type="dxa"/>
            <w:vAlign w:val="bottom"/>
          </w:tcPr>
          <w:p>
            <w:pPr>
              <w:spacing w:after="0"/>
              <w:rPr>
                <w:sz w:val="11"/>
                <w:szCs w:val="11"/>
                <w:color w:val="auto"/>
              </w:rPr>
            </w:pPr>
          </w:p>
        </w:tc>
        <w:tc>
          <w:tcPr>
            <w:tcW w:w="920" w:type="dxa"/>
            <w:vAlign w:val="bottom"/>
            <w:vMerge w:val="continue"/>
          </w:tcPr>
          <w:p>
            <w:pPr>
              <w:spacing w:after="0"/>
              <w:rPr>
                <w:sz w:val="11"/>
                <w:szCs w:val="11"/>
                <w:color w:val="auto"/>
              </w:rPr>
            </w:pPr>
          </w:p>
        </w:tc>
        <w:tc>
          <w:tcPr>
            <w:tcW w:w="680" w:type="dxa"/>
            <w:vAlign w:val="bottom"/>
            <w:vMerge w:val="continue"/>
          </w:tcPr>
          <w:p>
            <w:pPr>
              <w:spacing w:after="0"/>
              <w:rPr>
                <w:sz w:val="11"/>
                <w:szCs w:val="11"/>
                <w:color w:val="auto"/>
              </w:rPr>
            </w:pPr>
          </w:p>
        </w:tc>
        <w:tc>
          <w:tcPr>
            <w:tcW w:w="740" w:type="dxa"/>
            <w:vAlign w:val="bottom"/>
            <w:vMerge w:val="continue"/>
          </w:tcPr>
          <w:p>
            <w:pPr>
              <w:spacing w:after="0"/>
              <w:rPr>
                <w:sz w:val="11"/>
                <w:szCs w:val="11"/>
                <w:color w:val="auto"/>
              </w:rPr>
            </w:pPr>
          </w:p>
        </w:tc>
        <w:tc>
          <w:tcPr>
            <w:tcW w:w="740" w:type="dxa"/>
            <w:vAlign w:val="bottom"/>
            <w:vMerge w:val="continue"/>
          </w:tcPr>
          <w:p>
            <w:pPr>
              <w:spacing w:after="0"/>
              <w:rPr>
                <w:sz w:val="11"/>
                <w:szCs w:val="11"/>
                <w:color w:val="auto"/>
              </w:rPr>
            </w:pPr>
          </w:p>
        </w:tc>
        <w:tc>
          <w:tcPr>
            <w:tcW w:w="720" w:type="dxa"/>
            <w:vAlign w:val="bottom"/>
            <w:vMerge w:val="continue"/>
          </w:tcPr>
          <w:p>
            <w:pPr>
              <w:spacing w:after="0"/>
              <w:rPr>
                <w:sz w:val="11"/>
                <w:szCs w:val="11"/>
                <w:color w:val="auto"/>
              </w:rPr>
            </w:pPr>
          </w:p>
        </w:tc>
        <w:tc>
          <w:tcPr>
            <w:tcW w:w="64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342"/>
        </w:trPr>
        <w:tc>
          <w:tcPr>
            <w:tcW w:w="4880" w:type="dxa"/>
            <w:vAlign w:val="bottom"/>
          </w:tcPr>
          <w:p>
            <w:pPr>
              <w:ind w:left="40"/>
              <w:spacing w:after="0"/>
              <w:rPr>
                <w:sz w:val="20"/>
                <w:szCs w:val="20"/>
                <w:color w:val="auto"/>
              </w:rPr>
            </w:pPr>
            <w:r>
              <w:rPr>
                <w:rFonts w:ascii="Times New Roman" w:cs="Times New Roman" w:eastAsia="Times New Roman" w:hAnsi="Times New Roman"/>
                <w:sz w:val="28"/>
                <w:szCs w:val="28"/>
                <w:color w:val="auto"/>
              </w:rPr>
              <w:t>Выручка</w:t>
            </w:r>
          </w:p>
        </w:tc>
        <w:tc>
          <w:tcPr>
            <w:tcW w:w="920" w:type="dxa"/>
            <w:vAlign w:val="bottom"/>
          </w:tcPr>
          <w:p>
            <w:pPr>
              <w:jc w:val="right"/>
              <w:spacing w:after="0"/>
              <w:rPr>
                <w:sz w:val="20"/>
                <w:szCs w:val="20"/>
                <w:color w:val="auto"/>
              </w:rPr>
            </w:pPr>
            <w:r>
              <w:rPr>
                <w:rFonts w:ascii="Times New Roman" w:cs="Times New Roman" w:eastAsia="Times New Roman" w:hAnsi="Times New Roman"/>
                <w:sz w:val="28"/>
                <w:szCs w:val="28"/>
                <w:color w:val="auto"/>
              </w:rPr>
              <w:t>1000</w:t>
            </w:r>
          </w:p>
        </w:tc>
        <w:tc>
          <w:tcPr>
            <w:tcW w:w="1420" w:type="dxa"/>
            <w:vAlign w:val="bottom"/>
            <w:gridSpan w:val="2"/>
          </w:tcPr>
          <w:p>
            <w:pPr>
              <w:jc w:val="right"/>
              <w:spacing w:after="0"/>
              <w:rPr>
                <w:sz w:val="20"/>
                <w:szCs w:val="20"/>
                <w:color w:val="auto"/>
              </w:rPr>
            </w:pPr>
            <w:r>
              <w:rPr>
                <w:rFonts w:ascii="Times New Roman" w:cs="Times New Roman" w:eastAsia="Times New Roman" w:hAnsi="Times New Roman"/>
                <w:sz w:val="28"/>
                <w:szCs w:val="28"/>
                <w:color w:val="auto"/>
              </w:rPr>
              <w:t>1200 1500</w:t>
            </w:r>
          </w:p>
        </w:tc>
        <w:tc>
          <w:tcPr>
            <w:tcW w:w="740" w:type="dxa"/>
            <w:vAlign w:val="bottom"/>
          </w:tcPr>
          <w:p>
            <w:pPr>
              <w:jc w:val="right"/>
              <w:spacing w:after="0"/>
              <w:rPr>
                <w:sz w:val="20"/>
                <w:szCs w:val="20"/>
                <w:color w:val="auto"/>
              </w:rPr>
            </w:pPr>
            <w:r>
              <w:rPr>
                <w:rFonts w:ascii="Times New Roman" w:cs="Times New Roman" w:eastAsia="Times New Roman" w:hAnsi="Times New Roman"/>
                <w:sz w:val="28"/>
                <w:szCs w:val="28"/>
                <w:color w:val="auto"/>
              </w:rPr>
              <w:t>1500</w:t>
            </w:r>
          </w:p>
        </w:tc>
        <w:tc>
          <w:tcPr>
            <w:tcW w:w="720" w:type="dxa"/>
            <w:vAlign w:val="bottom"/>
          </w:tcPr>
          <w:p>
            <w:pPr>
              <w:jc w:val="right"/>
              <w:spacing w:after="0"/>
              <w:rPr>
                <w:sz w:val="20"/>
                <w:szCs w:val="20"/>
                <w:color w:val="auto"/>
              </w:rPr>
            </w:pPr>
            <w:r>
              <w:rPr>
                <w:rFonts w:ascii="Times New Roman" w:cs="Times New Roman" w:eastAsia="Times New Roman" w:hAnsi="Times New Roman"/>
                <w:sz w:val="28"/>
                <w:szCs w:val="28"/>
                <w:color w:val="auto"/>
              </w:rPr>
              <w:t>1500</w:t>
            </w:r>
          </w:p>
        </w:tc>
        <w:tc>
          <w:tcPr>
            <w:tcW w:w="640" w:type="dxa"/>
            <w:vAlign w:val="bottom"/>
          </w:tcPr>
          <w:p>
            <w:pPr>
              <w:jc w:val="right"/>
              <w:spacing w:after="0"/>
              <w:rPr>
                <w:sz w:val="20"/>
                <w:szCs w:val="20"/>
                <w:color w:val="auto"/>
              </w:rPr>
            </w:pPr>
            <w:r>
              <w:rPr>
                <w:rFonts w:ascii="Times New Roman" w:cs="Times New Roman" w:eastAsia="Times New Roman" w:hAnsi="Times New Roman"/>
                <w:sz w:val="28"/>
                <w:szCs w:val="28"/>
                <w:color w:val="auto"/>
              </w:rPr>
              <w:t>1500</w:t>
            </w:r>
          </w:p>
        </w:tc>
        <w:tc>
          <w:tcPr>
            <w:tcW w:w="0" w:type="dxa"/>
            <w:vAlign w:val="bottom"/>
          </w:tcPr>
          <w:p>
            <w:pPr>
              <w:spacing w:after="0"/>
              <w:rPr>
                <w:sz w:val="1"/>
                <w:szCs w:val="1"/>
                <w:color w:val="auto"/>
              </w:rPr>
            </w:pPr>
          </w:p>
        </w:tc>
      </w:tr>
      <w:tr>
        <w:trPr>
          <w:trHeight w:val="331"/>
        </w:trPr>
        <w:tc>
          <w:tcPr>
            <w:tcW w:w="4880" w:type="dxa"/>
            <w:vAlign w:val="bottom"/>
          </w:tcPr>
          <w:p>
            <w:pPr>
              <w:ind w:left="40"/>
              <w:spacing w:after="0"/>
              <w:rPr>
                <w:sz w:val="20"/>
                <w:szCs w:val="20"/>
                <w:color w:val="auto"/>
              </w:rPr>
            </w:pPr>
            <w:r>
              <w:rPr>
                <w:rFonts w:ascii="Times New Roman" w:cs="Times New Roman" w:eastAsia="Times New Roman" w:hAnsi="Times New Roman"/>
                <w:sz w:val="28"/>
                <w:szCs w:val="28"/>
                <w:color w:val="auto"/>
              </w:rPr>
              <w:t>Прибыль до налогообложения</w:t>
            </w:r>
          </w:p>
        </w:tc>
        <w:tc>
          <w:tcPr>
            <w:tcW w:w="920" w:type="dxa"/>
            <w:vAlign w:val="bottom"/>
          </w:tcPr>
          <w:p>
            <w:pPr>
              <w:jc w:val="center"/>
              <w:spacing w:after="0"/>
              <w:rPr>
                <w:sz w:val="20"/>
                <w:szCs w:val="20"/>
                <w:color w:val="auto"/>
              </w:rPr>
            </w:pPr>
            <w:r>
              <w:rPr>
                <w:rFonts w:ascii="Times New Roman" w:cs="Times New Roman" w:eastAsia="Times New Roman" w:hAnsi="Times New Roman"/>
                <w:sz w:val="28"/>
                <w:szCs w:val="28"/>
                <w:color w:val="auto"/>
                <w:w w:val="99"/>
              </w:rPr>
              <w:t>200</w:t>
            </w:r>
          </w:p>
        </w:tc>
        <w:tc>
          <w:tcPr>
            <w:tcW w:w="680" w:type="dxa"/>
            <w:vAlign w:val="bottom"/>
          </w:tcPr>
          <w:p>
            <w:pPr>
              <w:jc w:val="center"/>
              <w:spacing w:after="0"/>
              <w:rPr>
                <w:sz w:val="20"/>
                <w:szCs w:val="20"/>
                <w:color w:val="auto"/>
              </w:rPr>
            </w:pPr>
            <w:r>
              <w:rPr>
                <w:rFonts w:ascii="Times New Roman" w:cs="Times New Roman" w:eastAsia="Times New Roman" w:hAnsi="Times New Roman"/>
                <w:sz w:val="28"/>
                <w:szCs w:val="28"/>
                <w:color w:val="auto"/>
                <w:w w:val="99"/>
              </w:rPr>
              <w:t>240</w:t>
            </w:r>
          </w:p>
        </w:tc>
        <w:tc>
          <w:tcPr>
            <w:tcW w:w="740" w:type="dxa"/>
            <w:vAlign w:val="bottom"/>
          </w:tcPr>
          <w:p>
            <w:pPr>
              <w:jc w:val="center"/>
              <w:spacing w:after="0"/>
              <w:rPr>
                <w:sz w:val="20"/>
                <w:szCs w:val="20"/>
                <w:color w:val="auto"/>
              </w:rPr>
            </w:pPr>
            <w:r>
              <w:rPr>
                <w:rFonts w:ascii="Times New Roman" w:cs="Times New Roman" w:eastAsia="Times New Roman" w:hAnsi="Times New Roman"/>
                <w:sz w:val="28"/>
                <w:szCs w:val="28"/>
                <w:color w:val="auto"/>
                <w:w w:val="99"/>
              </w:rPr>
              <w:t>300</w:t>
            </w:r>
          </w:p>
        </w:tc>
        <w:tc>
          <w:tcPr>
            <w:tcW w:w="740" w:type="dxa"/>
            <w:vAlign w:val="bottom"/>
          </w:tcPr>
          <w:p>
            <w:pPr>
              <w:jc w:val="center"/>
              <w:spacing w:after="0"/>
              <w:rPr>
                <w:sz w:val="20"/>
                <w:szCs w:val="20"/>
                <w:color w:val="auto"/>
              </w:rPr>
            </w:pPr>
            <w:r>
              <w:rPr>
                <w:rFonts w:ascii="Times New Roman" w:cs="Times New Roman" w:eastAsia="Times New Roman" w:hAnsi="Times New Roman"/>
                <w:sz w:val="28"/>
                <w:szCs w:val="28"/>
                <w:color w:val="auto"/>
                <w:w w:val="99"/>
              </w:rPr>
              <w:t>300</w:t>
            </w:r>
          </w:p>
        </w:tc>
        <w:tc>
          <w:tcPr>
            <w:tcW w:w="720" w:type="dxa"/>
            <w:vAlign w:val="bottom"/>
          </w:tcPr>
          <w:p>
            <w:pPr>
              <w:jc w:val="center"/>
              <w:spacing w:after="0"/>
              <w:rPr>
                <w:sz w:val="20"/>
                <w:szCs w:val="20"/>
                <w:color w:val="auto"/>
              </w:rPr>
            </w:pPr>
            <w:r>
              <w:rPr>
                <w:rFonts w:ascii="Times New Roman" w:cs="Times New Roman" w:eastAsia="Times New Roman" w:hAnsi="Times New Roman"/>
                <w:sz w:val="28"/>
                <w:szCs w:val="28"/>
                <w:color w:val="auto"/>
                <w:w w:val="99"/>
              </w:rPr>
              <w:t>300</w:t>
            </w:r>
          </w:p>
        </w:tc>
        <w:tc>
          <w:tcPr>
            <w:tcW w:w="640" w:type="dxa"/>
            <w:vAlign w:val="bottom"/>
          </w:tcPr>
          <w:p>
            <w:pPr>
              <w:jc w:val="center"/>
              <w:spacing w:after="0"/>
              <w:rPr>
                <w:sz w:val="20"/>
                <w:szCs w:val="20"/>
                <w:color w:val="auto"/>
              </w:rPr>
            </w:pPr>
            <w:r>
              <w:rPr>
                <w:rFonts w:ascii="Times New Roman" w:cs="Times New Roman" w:eastAsia="Times New Roman" w:hAnsi="Times New Roman"/>
                <w:sz w:val="28"/>
                <w:szCs w:val="28"/>
                <w:color w:val="auto"/>
                <w:w w:val="99"/>
              </w:rPr>
              <w:t>300</w:t>
            </w:r>
          </w:p>
        </w:tc>
        <w:tc>
          <w:tcPr>
            <w:tcW w:w="0" w:type="dxa"/>
            <w:vAlign w:val="bottom"/>
          </w:tcPr>
          <w:p>
            <w:pPr>
              <w:spacing w:after="0"/>
              <w:rPr>
                <w:sz w:val="1"/>
                <w:szCs w:val="1"/>
                <w:color w:val="auto"/>
              </w:rPr>
            </w:pPr>
          </w:p>
        </w:tc>
      </w:tr>
      <w:tr>
        <w:trPr>
          <w:trHeight w:val="323"/>
        </w:trPr>
        <w:tc>
          <w:tcPr>
            <w:tcW w:w="4880" w:type="dxa"/>
            <w:vAlign w:val="bottom"/>
          </w:tcPr>
          <w:p>
            <w:pPr>
              <w:ind w:left="40"/>
              <w:spacing w:after="0"/>
              <w:rPr>
                <w:sz w:val="20"/>
                <w:szCs w:val="20"/>
                <w:color w:val="auto"/>
              </w:rPr>
            </w:pPr>
            <w:r>
              <w:rPr>
                <w:rFonts w:ascii="Times New Roman" w:cs="Times New Roman" w:eastAsia="Times New Roman" w:hAnsi="Times New Roman"/>
                <w:sz w:val="28"/>
                <w:szCs w:val="28"/>
                <w:color w:val="auto"/>
              </w:rPr>
              <w:t>Чистая операционная прибыль после</w:t>
            </w:r>
          </w:p>
        </w:tc>
        <w:tc>
          <w:tcPr>
            <w:tcW w:w="920" w:type="dxa"/>
            <w:vAlign w:val="bottom"/>
          </w:tcPr>
          <w:p>
            <w:pPr>
              <w:jc w:val="center"/>
              <w:spacing w:after="0"/>
              <w:rPr>
                <w:sz w:val="20"/>
                <w:szCs w:val="20"/>
                <w:color w:val="auto"/>
              </w:rPr>
            </w:pPr>
            <w:r>
              <w:rPr>
                <w:rFonts w:ascii="Times New Roman" w:cs="Times New Roman" w:eastAsia="Times New Roman" w:hAnsi="Times New Roman"/>
                <w:sz w:val="28"/>
                <w:szCs w:val="28"/>
                <w:color w:val="auto"/>
                <w:w w:val="99"/>
              </w:rPr>
              <w:t>152</w:t>
            </w:r>
          </w:p>
        </w:tc>
        <w:tc>
          <w:tcPr>
            <w:tcW w:w="680" w:type="dxa"/>
            <w:vAlign w:val="bottom"/>
          </w:tcPr>
          <w:p>
            <w:pPr>
              <w:jc w:val="center"/>
              <w:spacing w:after="0"/>
              <w:rPr>
                <w:sz w:val="20"/>
                <w:szCs w:val="20"/>
                <w:color w:val="auto"/>
              </w:rPr>
            </w:pPr>
            <w:r>
              <w:rPr>
                <w:rFonts w:ascii="Times New Roman" w:cs="Times New Roman" w:eastAsia="Times New Roman" w:hAnsi="Times New Roman"/>
                <w:sz w:val="28"/>
                <w:szCs w:val="28"/>
                <w:color w:val="auto"/>
                <w:w w:val="99"/>
              </w:rPr>
              <w:t>182</w:t>
            </w:r>
          </w:p>
        </w:tc>
        <w:tc>
          <w:tcPr>
            <w:tcW w:w="740" w:type="dxa"/>
            <w:vAlign w:val="bottom"/>
          </w:tcPr>
          <w:p>
            <w:pPr>
              <w:jc w:val="center"/>
              <w:spacing w:after="0"/>
              <w:rPr>
                <w:sz w:val="20"/>
                <w:szCs w:val="20"/>
                <w:color w:val="auto"/>
              </w:rPr>
            </w:pPr>
            <w:r>
              <w:rPr>
                <w:rFonts w:ascii="Times New Roman" w:cs="Times New Roman" w:eastAsia="Times New Roman" w:hAnsi="Times New Roman"/>
                <w:sz w:val="28"/>
                <w:szCs w:val="28"/>
                <w:color w:val="auto"/>
                <w:w w:val="99"/>
              </w:rPr>
              <w:t>228</w:t>
            </w:r>
          </w:p>
        </w:tc>
        <w:tc>
          <w:tcPr>
            <w:tcW w:w="740" w:type="dxa"/>
            <w:vAlign w:val="bottom"/>
          </w:tcPr>
          <w:p>
            <w:pPr>
              <w:jc w:val="center"/>
              <w:spacing w:after="0"/>
              <w:rPr>
                <w:sz w:val="20"/>
                <w:szCs w:val="20"/>
                <w:color w:val="auto"/>
              </w:rPr>
            </w:pPr>
            <w:r>
              <w:rPr>
                <w:rFonts w:ascii="Times New Roman" w:cs="Times New Roman" w:eastAsia="Times New Roman" w:hAnsi="Times New Roman"/>
                <w:sz w:val="28"/>
                <w:szCs w:val="28"/>
                <w:color w:val="auto"/>
                <w:w w:val="99"/>
              </w:rPr>
              <w:t>228</w:t>
            </w:r>
          </w:p>
        </w:tc>
        <w:tc>
          <w:tcPr>
            <w:tcW w:w="720" w:type="dxa"/>
            <w:vAlign w:val="bottom"/>
          </w:tcPr>
          <w:p>
            <w:pPr>
              <w:jc w:val="center"/>
              <w:spacing w:after="0"/>
              <w:rPr>
                <w:sz w:val="20"/>
                <w:szCs w:val="20"/>
                <w:color w:val="auto"/>
              </w:rPr>
            </w:pPr>
            <w:r>
              <w:rPr>
                <w:rFonts w:ascii="Times New Roman" w:cs="Times New Roman" w:eastAsia="Times New Roman" w:hAnsi="Times New Roman"/>
                <w:sz w:val="28"/>
                <w:szCs w:val="28"/>
                <w:color w:val="auto"/>
                <w:w w:val="99"/>
              </w:rPr>
              <w:t>228</w:t>
            </w:r>
          </w:p>
        </w:tc>
        <w:tc>
          <w:tcPr>
            <w:tcW w:w="640" w:type="dxa"/>
            <w:vAlign w:val="bottom"/>
          </w:tcPr>
          <w:p>
            <w:pPr>
              <w:jc w:val="center"/>
              <w:spacing w:after="0"/>
              <w:rPr>
                <w:sz w:val="20"/>
                <w:szCs w:val="20"/>
                <w:color w:val="auto"/>
              </w:rPr>
            </w:pPr>
            <w:r>
              <w:rPr>
                <w:rFonts w:ascii="Times New Roman" w:cs="Times New Roman" w:eastAsia="Times New Roman" w:hAnsi="Times New Roman"/>
                <w:sz w:val="28"/>
                <w:szCs w:val="28"/>
                <w:color w:val="auto"/>
                <w:w w:val="99"/>
              </w:rPr>
              <w:t>228</w:t>
            </w:r>
          </w:p>
        </w:tc>
        <w:tc>
          <w:tcPr>
            <w:tcW w:w="0" w:type="dxa"/>
            <w:vAlign w:val="bottom"/>
          </w:tcPr>
          <w:p>
            <w:pPr>
              <w:spacing w:after="0"/>
              <w:rPr>
                <w:sz w:val="1"/>
                <w:szCs w:val="1"/>
                <w:color w:val="auto"/>
              </w:rPr>
            </w:pPr>
          </w:p>
        </w:tc>
      </w:tr>
      <w:tr>
        <w:trPr>
          <w:trHeight w:val="331"/>
        </w:trPr>
        <w:tc>
          <w:tcPr>
            <w:tcW w:w="4880" w:type="dxa"/>
            <w:vAlign w:val="bottom"/>
          </w:tcPr>
          <w:p>
            <w:pPr>
              <w:ind w:left="40"/>
              <w:spacing w:after="0"/>
              <w:rPr>
                <w:sz w:val="20"/>
                <w:szCs w:val="20"/>
                <w:color w:val="auto"/>
              </w:rPr>
            </w:pPr>
            <w:r>
              <w:rPr>
                <w:rFonts w:ascii="Times New Roman" w:cs="Times New Roman" w:eastAsia="Times New Roman" w:hAnsi="Times New Roman"/>
                <w:sz w:val="28"/>
                <w:szCs w:val="28"/>
                <w:color w:val="auto"/>
              </w:rPr>
              <w:t>налогообложения</w:t>
            </w:r>
          </w:p>
        </w:tc>
        <w:tc>
          <w:tcPr>
            <w:tcW w:w="92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32"/>
        </w:trPr>
        <w:tc>
          <w:tcPr>
            <w:tcW w:w="4880" w:type="dxa"/>
            <w:vAlign w:val="bottom"/>
          </w:tcPr>
          <w:p>
            <w:pPr>
              <w:ind w:left="40"/>
              <w:spacing w:after="0"/>
              <w:rPr>
                <w:sz w:val="20"/>
                <w:szCs w:val="20"/>
                <w:color w:val="auto"/>
              </w:rPr>
            </w:pPr>
            <w:r>
              <w:rPr>
                <w:rFonts w:ascii="Times New Roman" w:cs="Times New Roman" w:eastAsia="Times New Roman" w:hAnsi="Times New Roman"/>
                <w:sz w:val="28"/>
                <w:szCs w:val="28"/>
                <w:color w:val="auto"/>
              </w:rPr>
              <w:t>Стратегические инвестиции</w:t>
            </w:r>
          </w:p>
        </w:tc>
        <w:tc>
          <w:tcPr>
            <w:tcW w:w="920" w:type="dxa"/>
            <w:vAlign w:val="bottom"/>
          </w:tcPr>
          <w:p>
            <w:pPr>
              <w:jc w:val="center"/>
              <w:spacing w:after="0"/>
              <w:rPr>
                <w:sz w:val="20"/>
                <w:szCs w:val="20"/>
                <w:color w:val="auto"/>
              </w:rPr>
            </w:pPr>
            <w:r>
              <w:rPr>
                <w:rFonts w:ascii="Times New Roman" w:cs="Times New Roman" w:eastAsia="Times New Roman" w:hAnsi="Times New Roman"/>
                <w:sz w:val="28"/>
                <w:szCs w:val="28"/>
                <w:color w:val="auto"/>
                <w:w w:val="99"/>
              </w:rPr>
              <w:t>0</w:t>
            </w:r>
          </w:p>
        </w:tc>
        <w:tc>
          <w:tcPr>
            <w:tcW w:w="680" w:type="dxa"/>
            <w:vAlign w:val="bottom"/>
          </w:tcPr>
          <w:p>
            <w:pPr>
              <w:jc w:val="center"/>
              <w:spacing w:after="0"/>
              <w:rPr>
                <w:sz w:val="20"/>
                <w:szCs w:val="20"/>
                <w:color w:val="auto"/>
              </w:rPr>
            </w:pPr>
            <w:r>
              <w:rPr>
                <w:rFonts w:ascii="Times New Roman" w:cs="Times New Roman" w:eastAsia="Times New Roman" w:hAnsi="Times New Roman"/>
                <w:sz w:val="28"/>
                <w:szCs w:val="28"/>
                <w:color w:val="auto"/>
                <w:w w:val="99"/>
              </w:rPr>
              <w:t>100</w:t>
            </w:r>
          </w:p>
        </w:tc>
        <w:tc>
          <w:tcPr>
            <w:tcW w:w="740" w:type="dxa"/>
            <w:vAlign w:val="bottom"/>
          </w:tcPr>
          <w:p>
            <w:pPr>
              <w:jc w:val="center"/>
              <w:spacing w:after="0"/>
              <w:rPr>
                <w:sz w:val="20"/>
                <w:szCs w:val="20"/>
                <w:color w:val="auto"/>
              </w:rPr>
            </w:pPr>
            <w:r>
              <w:rPr>
                <w:rFonts w:ascii="Times New Roman" w:cs="Times New Roman" w:eastAsia="Times New Roman" w:hAnsi="Times New Roman"/>
                <w:sz w:val="28"/>
                <w:szCs w:val="28"/>
                <w:color w:val="auto"/>
              </w:rPr>
              <w:t>-400</w:t>
            </w:r>
          </w:p>
        </w:tc>
        <w:tc>
          <w:tcPr>
            <w:tcW w:w="740" w:type="dxa"/>
            <w:vAlign w:val="bottom"/>
          </w:tcPr>
          <w:p>
            <w:pPr>
              <w:jc w:val="center"/>
              <w:spacing w:after="0"/>
              <w:rPr>
                <w:sz w:val="20"/>
                <w:szCs w:val="20"/>
                <w:color w:val="auto"/>
              </w:rPr>
            </w:pPr>
            <w:r>
              <w:rPr>
                <w:rFonts w:ascii="Times New Roman" w:cs="Times New Roman" w:eastAsia="Times New Roman" w:hAnsi="Times New Roman"/>
                <w:sz w:val="28"/>
                <w:szCs w:val="28"/>
                <w:color w:val="auto"/>
                <w:w w:val="99"/>
              </w:rPr>
              <w:t>0</w:t>
            </w:r>
          </w:p>
        </w:tc>
        <w:tc>
          <w:tcPr>
            <w:tcW w:w="720" w:type="dxa"/>
            <w:vAlign w:val="bottom"/>
          </w:tcPr>
          <w:p>
            <w:pPr>
              <w:jc w:val="center"/>
              <w:spacing w:after="0"/>
              <w:rPr>
                <w:sz w:val="20"/>
                <w:szCs w:val="20"/>
                <w:color w:val="auto"/>
              </w:rPr>
            </w:pPr>
            <w:r>
              <w:rPr>
                <w:rFonts w:ascii="Times New Roman" w:cs="Times New Roman" w:eastAsia="Times New Roman" w:hAnsi="Times New Roman"/>
                <w:sz w:val="28"/>
                <w:szCs w:val="28"/>
                <w:color w:val="auto"/>
                <w:w w:val="99"/>
              </w:rPr>
              <w:t>0</w:t>
            </w:r>
          </w:p>
        </w:tc>
        <w:tc>
          <w:tcPr>
            <w:tcW w:w="640" w:type="dxa"/>
            <w:vAlign w:val="bottom"/>
          </w:tcPr>
          <w:p>
            <w:pPr>
              <w:jc w:val="center"/>
              <w:spacing w:after="0"/>
              <w:rPr>
                <w:sz w:val="20"/>
                <w:szCs w:val="20"/>
                <w:color w:val="auto"/>
              </w:rPr>
            </w:pPr>
            <w:r>
              <w:rPr>
                <w:rFonts w:ascii="Times New Roman" w:cs="Times New Roman" w:eastAsia="Times New Roman" w:hAnsi="Times New Roman"/>
                <w:sz w:val="28"/>
                <w:szCs w:val="28"/>
                <w:color w:val="auto"/>
                <w:w w:val="99"/>
              </w:rPr>
              <w:t>0</w:t>
            </w:r>
          </w:p>
        </w:tc>
        <w:tc>
          <w:tcPr>
            <w:tcW w:w="0" w:type="dxa"/>
            <w:vAlign w:val="bottom"/>
          </w:tcPr>
          <w:p>
            <w:pPr>
              <w:spacing w:after="0"/>
              <w:rPr>
                <w:sz w:val="1"/>
                <w:szCs w:val="1"/>
                <w:color w:val="auto"/>
              </w:rPr>
            </w:pPr>
          </w:p>
        </w:tc>
      </w:tr>
      <w:tr>
        <w:trPr>
          <w:trHeight w:val="331"/>
        </w:trPr>
        <w:tc>
          <w:tcPr>
            <w:tcW w:w="4880" w:type="dxa"/>
            <w:vAlign w:val="bottom"/>
          </w:tcPr>
          <w:p>
            <w:pPr>
              <w:ind w:left="40"/>
              <w:spacing w:after="0"/>
              <w:rPr>
                <w:sz w:val="20"/>
                <w:szCs w:val="20"/>
                <w:color w:val="auto"/>
              </w:rPr>
            </w:pPr>
            <w:r>
              <w:rPr>
                <w:rFonts w:ascii="Times New Roman" w:cs="Times New Roman" w:eastAsia="Times New Roman" w:hAnsi="Times New Roman"/>
                <w:sz w:val="28"/>
                <w:szCs w:val="28"/>
                <w:color w:val="auto"/>
              </w:rPr>
              <w:t>Денежный поток</w:t>
            </w:r>
          </w:p>
        </w:tc>
        <w:tc>
          <w:tcPr>
            <w:tcW w:w="920" w:type="dxa"/>
            <w:vAlign w:val="bottom"/>
          </w:tcPr>
          <w:p>
            <w:pPr>
              <w:jc w:val="center"/>
              <w:spacing w:after="0"/>
              <w:rPr>
                <w:sz w:val="20"/>
                <w:szCs w:val="20"/>
                <w:color w:val="auto"/>
              </w:rPr>
            </w:pPr>
            <w:r>
              <w:rPr>
                <w:rFonts w:ascii="Times New Roman" w:cs="Times New Roman" w:eastAsia="Times New Roman" w:hAnsi="Times New Roman"/>
                <w:sz w:val="28"/>
                <w:szCs w:val="28"/>
                <w:color w:val="auto"/>
                <w:w w:val="99"/>
              </w:rPr>
              <w:t>152</w:t>
            </w:r>
          </w:p>
        </w:tc>
        <w:tc>
          <w:tcPr>
            <w:tcW w:w="680" w:type="dxa"/>
            <w:vAlign w:val="bottom"/>
          </w:tcPr>
          <w:p>
            <w:pPr>
              <w:jc w:val="center"/>
              <w:spacing w:after="0"/>
              <w:rPr>
                <w:sz w:val="20"/>
                <w:szCs w:val="20"/>
                <w:color w:val="auto"/>
              </w:rPr>
            </w:pPr>
            <w:r>
              <w:rPr>
                <w:rFonts w:ascii="Times New Roman" w:cs="Times New Roman" w:eastAsia="Times New Roman" w:hAnsi="Times New Roman"/>
                <w:sz w:val="28"/>
                <w:szCs w:val="28"/>
                <w:color w:val="auto"/>
                <w:w w:val="99"/>
              </w:rPr>
              <w:t>82</w:t>
            </w:r>
          </w:p>
        </w:tc>
        <w:tc>
          <w:tcPr>
            <w:tcW w:w="740" w:type="dxa"/>
            <w:vAlign w:val="bottom"/>
          </w:tcPr>
          <w:p>
            <w:pPr>
              <w:jc w:val="center"/>
              <w:spacing w:after="0"/>
              <w:rPr>
                <w:sz w:val="20"/>
                <w:szCs w:val="20"/>
                <w:color w:val="auto"/>
              </w:rPr>
            </w:pPr>
            <w:r>
              <w:rPr>
                <w:rFonts w:ascii="Times New Roman" w:cs="Times New Roman" w:eastAsia="Times New Roman" w:hAnsi="Times New Roman"/>
                <w:sz w:val="28"/>
                <w:szCs w:val="28"/>
                <w:color w:val="auto"/>
                <w:w w:val="99"/>
              </w:rPr>
              <w:t>628</w:t>
            </w:r>
          </w:p>
        </w:tc>
        <w:tc>
          <w:tcPr>
            <w:tcW w:w="740" w:type="dxa"/>
            <w:vAlign w:val="bottom"/>
          </w:tcPr>
          <w:p>
            <w:pPr>
              <w:jc w:val="center"/>
              <w:spacing w:after="0"/>
              <w:rPr>
                <w:sz w:val="20"/>
                <w:szCs w:val="20"/>
                <w:color w:val="auto"/>
              </w:rPr>
            </w:pPr>
            <w:r>
              <w:rPr>
                <w:rFonts w:ascii="Times New Roman" w:cs="Times New Roman" w:eastAsia="Times New Roman" w:hAnsi="Times New Roman"/>
                <w:sz w:val="28"/>
                <w:szCs w:val="28"/>
                <w:color w:val="auto"/>
                <w:w w:val="99"/>
              </w:rPr>
              <w:t>228</w:t>
            </w:r>
          </w:p>
        </w:tc>
        <w:tc>
          <w:tcPr>
            <w:tcW w:w="720" w:type="dxa"/>
            <w:vAlign w:val="bottom"/>
          </w:tcPr>
          <w:p>
            <w:pPr>
              <w:jc w:val="center"/>
              <w:spacing w:after="0"/>
              <w:rPr>
                <w:sz w:val="20"/>
                <w:szCs w:val="20"/>
                <w:color w:val="auto"/>
              </w:rPr>
            </w:pPr>
            <w:r>
              <w:rPr>
                <w:rFonts w:ascii="Times New Roman" w:cs="Times New Roman" w:eastAsia="Times New Roman" w:hAnsi="Times New Roman"/>
                <w:sz w:val="28"/>
                <w:szCs w:val="28"/>
                <w:color w:val="auto"/>
                <w:w w:val="99"/>
              </w:rPr>
              <w:t>228</w:t>
            </w:r>
          </w:p>
        </w:tc>
        <w:tc>
          <w:tcPr>
            <w:tcW w:w="640" w:type="dxa"/>
            <w:vAlign w:val="bottom"/>
          </w:tcPr>
          <w:p>
            <w:pPr>
              <w:jc w:val="center"/>
              <w:spacing w:after="0"/>
              <w:rPr>
                <w:sz w:val="20"/>
                <w:szCs w:val="20"/>
                <w:color w:val="auto"/>
              </w:rPr>
            </w:pPr>
            <w:r>
              <w:rPr>
                <w:rFonts w:ascii="Times New Roman" w:cs="Times New Roman" w:eastAsia="Times New Roman" w:hAnsi="Times New Roman"/>
                <w:sz w:val="28"/>
                <w:szCs w:val="28"/>
                <w:color w:val="auto"/>
                <w:w w:val="99"/>
              </w:rPr>
              <w:t>228</w:t>
            </w:r>
          </w:p>
        </w:tc>
        <w:tc>
          <w:tcPr>
            <w:tcW w:w="0" w:type="dxa"/>
            <w:vAlign w:val="bottom"/>
          </w:tcPr>
          <w:p>
            <w:pPr>
              <w:spacing w:after="0"/>
              <w:rPr>
                <w:sz w:val="1"/>
                <w:szCs w:val="1"/>
                <w:color w:val="auto"/>
              </w:rPr>
            </w:pPr>
          </w:p>
        </w:tc>
      </w:tr>
      <w:tr>
        <w:trPr>
          <w:trHeight w:val="335"/>
        </w:trPr>
        <w:tc>
          <w:tcPr>
            <w:tcW w:w="4880" w:type="dxa"/>
            <w:vAlign w:val="bottom"/>
          </w:tcPr>
          <w:p>
            <w:pPr>
              <w:ind w:left="40"/>
              <w:spacing w:after="0"/>
              <w:rPr>
                <w:sz w:val="20"/>
                <w:szCs w:val="20"/>
                <w:color w:val="auto"/>
              </w:rPr>
            </w:pPr>
            <w:r>
              <w:rPr>
                <w:rFonts w:ascii="Times New Roman" w:cs="Times New Roman" w:eastAsia="Times New Roman" w:hAnsi="Times New Roman"/>
                <w:sz w:val="28"/>
                <w:szCs w:val="28"/>
                <w:color w:val="auto"/>
              </w:rPr>
              <w:t>Коэффициент текущей стоимости</w:t>
            </w:r>
          </w:p>
        </w:tc>
        <w:tc>
          <w:tcPr>
            <w:tcW w:w="920" w:type="dxa"/>
            <w:vAlign w:val="bottom"/>
          </w:tcPr>
          <w:p>
            <w:pPr>
              <w:jc w:val="center"/>
              <w:spacing w:after="0"/>
              <w:rPr>
                <w:sz w:val="20"/>
                <w:szCs w:val="20"/>
                <w:color w:val="auto"/>
              </w:rPr>
            </w:pPr>
            <w:r>
              <w:rPr>
                <w:rFonts w:ascii="Times New Roman" w:cs="Times New Roman" w:eastAsia="Times New Roman" w:hAnsi="Times New Roman"/>
                <w:sz w:val="28"/>
                <w:szCs w:val="28"/>
                <w:color w:val="auto"/>
              </w:rPr>
              <w:t>0,87</w:t>
            </w:r>
          </w:p>
        </w:tc>
        <w:tc>
          <w:tcPr>
            <w:tcW w:w="680" w:type="dxa"/>
            <w:vAlign w:val="bottom"/>
          </w:tcPr>
          <w:p>
            <w:pPr>
              <w:jc w:val="center"/>
              <w:spacing w:after="0"/>
              <w:rPr>
                <w:sz w:val="20"/>
                <w:szCs w:val="20"/>
                <w:color w:val="auto"/>
              </w:rPr>
            </w:pPr>
            <w:r>
              <w:rPr>
                <w:rFonts w:ascii="Times New Roman" w:cs="Times New Roman" w:eastAsia="Times New Roman" w:hAnsi="Times New Roman"/>
                <w:sz w:val="28"/>
                <w:szCs w:val="28"/>
                <w:color w:val="auto"/>
              </w:rPr>
              <w:t>0,76</w:t>
            </w:r>
          </w:p>
        </w:tc>
        <w:tc>
          <w:tcPr>
            <w:tcW w:w="740" w:type="dxa"/>
            <w:vAlign w:val="bottom"/>
          </w:tcPr>
          <w:p>
            <w:pPr>
              <w:jc w:val="center"/>
              <w:spacing w:after="0"/>
              <w:rPr>
                <w:sz w:val="20"/>
                <w:szCs w:val="20"/>
                <w:color w:val="auto"/>
              </w:rPr>
            </w:pPr>
            <w:r>
              <w:rPr>
                <w:rFonts w:ascii="Times New Roman" w:cs="Times New Roman" w:eastAsia="Times New Roman" w:hAnsi="Times New Roman"/>
                <w:sz w:val="28"/>
                <w:szCs w:val="28"/>
                <w:color w:val="auto"/>
              </w:rPr>
              <w:t>0,66</w:t>
            </w:r>
          </w:p>
        </w:tc>
        <w:tc>
          <w:tcPr>
            <w:tcW w:w="740" w:type="dxa"/>
            <w:vAlign w:val="bottom"/>
          </w:tcPr>
          <w:p>
            <w:pPr>
              <w:jc w:val="center"/>
              <w:spacing w:after="0"/>
              <w:rPr>
                <w:sz w:val="20"/>
                <w:szCs w:val="20"/>
                <w:color w:val="auto"/>
              </w:rPr>
            </w:pPr>
            <w:r>
              <w:rPr>
                <w:rFonts w:ascii="Times New Roman" w:cs="Times New Roman" w:eastAsia="Times New Roman" w:hAnsi="Times New Roman"/>
                <w:sz w:val="28"/>
                <w:szCs w:val="28"/>
                <w:color w:val="auto"/>
                <w:w w:val="97"/>
              </w:rPr>
              <w:t>0,57</w:t>
            </w:r>
          </w:p>
        </w:tc>
        <w:tc>
          <w:tcPr>
            <w:tcW w:w="720" w:type="dxa"/>
            <w:vAlign w:val="bottom"/>
          </w:tcPr>
          <w:p>
            <w:pPr>
              <w:jc w:val="center"/>
              <w:spacing w:after="0"/>
              <w:rPr>
                <w:sz w:val="20"/>
                <w:szCs w:val="20"/>
                <w:color w:val="auto"/>
              </w:rPr>
            </w:pPr>
            <w:r>
              <w:rPr>
                <w:rFonts w:ascii="Times New Roman" w:cs="Times New Roman" w:eastAsia="Times New Roman" w:hAnsi="Times New Roman"/>
                <w:sz w:val="28"/>
                <w:szCs w:val="28"/>
                <w:color w:val="auto"/>
                <w:w w:val="97"/>
              </w:rPr>
              <w:t>0,50</w:t>
            </w:r>
          </w:p>
        </w:tc>
        <w:tc>
          <w:tcPr>
            <w:tcW w:w="640" w:type="dxa"/>
            <w:vAlign w:val="bottom"/>
          </w:tcPr>
          <w:p>
            <w:pPr>
              <w:jc w:val="center"/>
              <w:spacing w:after="0"/>
              <w:rPr>
                <w:sz w:val="20"/>
                <w:szCs w:val="20"/>
                <w:color w:val="auto"/>
              </w:rPr>
            </w:pPr>
            <w:r>
              <w:rPr>
                <w:rFonts w:ascii="Times New Roman" w:cs="Times New Roman" w:eastAsia="Times New Roman" w:hAnsi="Times New Roman"/>
                <w:sz w:val="28"/>
                <w:szCs w:val="28"/>
                <w:color w:val="auto"/>
                <w:w w:val="97"/>
              </w:rPr>
              <w:t>0,43</w:t>
            </w:r>
          </w:p>
        </w:tc>
        <w:tc>
          <w:tcPr>
            <w:tcW w:w="0" w:type="dxa"/>
            <w:vAlign w:val="bottom"/>
          </w:tcPr>
          <w:p>
            <w:pPr>
              <w:spacing w:after="0"/>
              <w:rPr>
                <w:sz w:val="1"/>
                <w:szCs w:val="1"/>
                <w:color w:val="auto"/>
              </w:rPr>
            </w:pPr>
          </w:p>
        </w:tc>
      </w:tr>
      <w:tr>
        <w:trPr>
          <w:trHeight w:val="343"/>
        </w:trPr>
        <w:tc>
          <w:tcPr>
            <w:tcW w:w="4880" w:type="dxa"/>
            <w:vAlign w:val="bottom"/>
          </w:tcPr>
          <w:p>
            <w:pPr>
              <w:ind w:left="40"/>
              <w:spacing w:after="0"/>
              <w:rPr>
                <w:sz w:val="20"/>
                <w:szCs w:val="20"/>
                <w:color w:val="auto"/>
              </w:rPr>
            </w:pPr>
            <w:r>
              <w:rPr>
                <w:rFonts w:ascii="Times New Roman" w:cs="Times New Roman" w:eastAsia="Times New Roman" w:hAnsi="Times New Roman"/>
                <w:sz w:val="28"/>
                <w:szCs w:val="28"/>
                <w:color w:val="auto"/>
              </w:rPr>
              <w:t>Текущая стоимость денежного потока</w:t>
            </w:r>
          </w:p>
        </w:tc>
        <w:tc>
          <w:tcPr>
            <w:tcW w:w="920" w:type="dxa"/>
            <w:vAlign w:val="bottom"/>
          </w:tcPr>
          <w:p>
            <w:pPr>
              <w:jc w:val="center"/>
              <w:spacing w:after="0"/>
              <w:rPr>
                <w:sz w:val="20"/>
                <w:szCs w:val="20"/>
                <w:color w:val="auto"/>
              </w:rPr>
            </w:pPr>
            <w:r>
              <w:rPr>
                <w:rFonts w:ascii="Times New Roman" w:cs="Times New Roman" w:eastAsia="Times New Roman" w:hAnsi="Times New Roman"/>
                <w:sz w:val="28"/>
                <w:szCs w:val="28"/>
                <w:color w:val="auto"/>
                <w:w w:val="99"/>
              </w:rPr>
              <w:t>132</w:t>
            </w:r>
          </w:p>
        </w:tc>
        <w:tc>
          <w:tcPr>
            <w:tcW w:w="680" w:type="dxa"/>
            <w:vAlign w:val="bottom"/>
          </w:tcPr>
          <w:p>
            <w:pPr>
              <w:jc w:val="center"/>
              <w:spacing w:after="0"/>
              <w:rPr>
                <w:sz w:val="20"/>
                <w:szCs w:val="20"/>
                <w:color w:val="auto"/>
              </w:rPr>
            </w:pPr>
            <w:r>
              <w:rPr>
                <w:rFonts w:ascii="Times New Roman" w:cs="Times New Roman" w:eastAsia="Times New Roman" w:hAnsi="Times New Roman"/>
                <w:sz w:val="28"/>
                <w:szCs w:val="28"/>
                <w:color w:val="auto"/>
                <w:w w:val="99"/>
              </w:rPr>
              <w:t>62</w:t>
            </w:r>
          </w:p>
        </w:tc>
        <w:tc>
          <w:tcPr>
            <w:tcW w:w="740" w:type="dxa"/>
            <w:vAlign w:val="bottom"/>
          </w:tcPr>
          <w:p>
            <w:pPr>
              <w:jc w:val="center"/>
              <w:spacing w:after="0"/>
              <w:rPr>
                <w:sz w:val="20"/>
                <w:szCs w:val="20"/>
                <w:color w:val="auto"/>
              </w:rPr>
            </w:pPr>
            <w:r>
              <w:rPr>
                <w:rFonts w:ascii="Times New Roman" w:cs="Times New Roman" w:eastAsia="Times New Roman" w:hAnsi="Times New Roman"/>
                <w:sz w:val="28"/>
                <w:szCs w:val="28"/>
                <w:color w:val="auto"/>
                <w:w w:val="99"/>
              </w:rPr>
              <w:t>413</w:t>
            </w:r>
          </w:p>
        </w:tc>
        <w:tc>
          <w:tcPr>
            <w:tcW w:w="740" w:type="dxa"/>
            <w:vAlign w:val="bottom"/>
          </w:tcPr>
          <w:p>
            <w:pPr>
              <w:jc w:val="center"/>
              <w:spacing w:after="0"/>
              <w:rPr>
                <w:sz w:val="20"/>
                <w:szCs w:val="20"/>
                <w:color w:val="auto"/>
              </w:rPr>
            </w:pPr>
            <w:r>
              <w:rPr>
                <w:rFonts w:ascii="Times New Roman" w:cs="Times New Roman" w:eastAsia="Times New Roman" w:hAnsi="Times New Roman"/>
                <w:sz w:val="28"/>
                <w:szCs w:val="28"/>
                <w:color w:val="auto"/>
                <w:w w:val="99"/>
              </w:rPr>
              <w:t>130</w:t>
            </w:r>
          </w:p>
        </w:tc>
        <w:tc>
          <w:tcPr>
            <w:tcW w:w="720" w:type="dxa"/>
            <w:vAlign w:val="bottom"/>
          </w:tcPr>
          <w:p>
            <w:pPr>
              <w:jc w:val="center"/>
              <w:spacing w:after="0"/>
              <w:rPr>
                <w:sz w:val="20"/>
                <w:szCs w:val="20"/>
                <w:color w:val="auto"/>
              </w:rPr>
            </w:pPr>
            <w:r>
              <w:rPr>
                <w:rFonts w:ascii="Times New Roman" w:cs="Times New Roman" w:eastAsia="Times New Roman" w:hAnsi="Times New Roman"/>
                <w:sz w:val="28"/>
                <w:szCs w:val="28"/>
                <w:color w:val="auto"/>
                <w:w w:val="99"/>
              </w:rPr>
              <w:t>113</w:t>
            </w:r>
          </w:p>
        </w:tc>
        <w:tc>
          <w:tcPr>
            <w:tcW w:w="640" w:type="dxa"/>
            <w:vAlign w:val="bottom"/>
          </w:tcPr>
          <w:p>
            <w:pPr>
              <w:jc w:val="center"/>
              <w:spacing w:after="0"/>
              <w:rPr>
                <w:sz w:val="20"/>
                <w:szCs w:val="20"/>
                <w:color w:val="auto"/>
              </w:rPr>
            </w:pPr>
            <w:r>
              <w:rPr>
                <w:rFonts w:ascii="Times New Roman" w:cs="Times New Roman" w:eastAsia="Times New Roman" w:hAnsi="Times New Roman"/>
                <w:sz w:val="28"/>
                <w:szCs w:val="28"/>
                <w:color w:val="auto"/>
                <w:w w:val="99"/>
              </w:rPr>
              <w:t>99</w:t>
            </w:r>
          </w:p>
        </w:tc>
        <w:tc>
          <w:tcPr>
            <w:tcW w:w="0" w:type="dxa"/>
            <w:vAlign w:val="bottom"/>
          </w:tcPr>
          <w:p>
            <w:pPr>
              <w:spacing w:after="0"/>
              <w:rPr>
                <w:sz w:val="1"/>
                <w:szCs w:val="1"/>
                <w:color w:val="auto"/>
              </w:rPr>
            </w:pPr>
          </w:p>
        </w:tc>
      </w:tr>
      <w:tr>
        <w:trPr>
          <w:trHeight w:val="364"/>
        </w:trPr>
        <w:tc>
          <w:tcPr>
            <w:tcW w:w="4880" w:type="dxa"/>
            <w:vAlign w:val="bottom"/>
          </w:tcPr>
          <w:p>
            <w:pPr>
              <w:spacing w:after="0"/>
              <w:rPr>
                <w:sz w:val="20"/>
                <w:szCs w:val="20"/>
                <w:color w:val="auto"/>
              </w:rPr>
            </w:pPr>
            <w:r>
              <w:rPr>
                <w:rFonts w:ascii="Times New Roman" w:cs="Times New Roman" w:eastAsia="Times New Roman" w:hAnsi="Times New Roman"/>
                <w:sz w:val="28"/>
                <w:szCs w:val="28"/>
                <w:color w:val="auto"/>
              </w:rPr>
              <w:t>Остаточная стоимость</w:t>
            </w:r>
          </w:p>
        </w:tc>
        <w:tc>
          <w:tcPr>
            <w:tcW w:w="92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1480" w:type="dxa"/>
            <w:vAlign w:val="bottom"/>
            <w:gridSpan w:val="2"/>
          </w:tcPr>
          <w:p>
            <w:pPr>
              <w:jc w:val="center"/>
              <w:spacing w:after="0"/>
              <w:rPr>
                <w:sz w:val="20"/>
                <w:szCs w:val="20"/>
                <w:color w:val="auto"/>
              </w:rPr>
            </w:pPr>
            <w:r>
              <w:rPr>
                <w:rFonts w:ascii="Times New Roman" w:cs="Times New Roman" w:eastAsia="Times New Roman" w:hAnsi="Times New Roman"/>
                <w:sz w:val="28"/>
                <w:szCs w:val="28"/>
                <w:color w:val="auto"/>
                <w:w w:val="99"/>
              </w:rPr>
              <w:t>1520</w:t>
            </w:r>
          </w:p>
        </w:tc>
        <w:tc>
          <w:tcPr>
            <w:tcW w:w="72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38"/>
        </w:trPr>
        <w:tc>
          <w:tcPr>
            <w:tcW w:w="4880" w:type="dxa"/>
            <w:vAlign w:val="bottom"/>
          </w:tcPr>
          <w:p>
            <w:pPr>
              <w:spacing w:after="0"/>
              <w:rPr>
                <w:sz w:val="20"/>
                <w:szCs w:val="20"/>
                <w:color w:val="auto"/>
              </w:rPr>
            </w:pPr>
            <w:r>
              <w:rPr>
                <w:rFonts w:ascii="Times New Roman" w:cs="Times New Roman" w:eastAsia="Times New Roman" w:hAnsi="Times New Roman"/>
                <w:sz w:val="28"/>
                <w:szCs w:val="28"/>
                <w:color w:val="auto"/>
              </w:rPr>
              <w:t>Текущая стоимость остаточной</w:t>
            </w:r>
          </w:p>
        </w:tc>
        <w:tc>
          <w:tcPr>
            <w:tcW w:w="92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1480" w:type="dxa"/>
            <w:vAlign w:val="bottom"/>
            <w:gridSpan w:val="2"/>
          </w:tcPr>
          <w:p>
            <w:pPr>
              <w:jc w:val="center"/>
              <w:spacing w:after="0"/>
              <w:rPr>
                <w:sz w:val="20"/>
                <w:szCs w:val="20"/>
                <w:color w:val="auto"/>
              </w:rPr>
            </w:pPr>
            <w:r>
              <w:rPr>
                <w:rFonts w:ascii="Times New Roman" w:cs="Times New Roman" w:eastAsia="Times New Roman" w:hAnsi="Times New Roman"/>
                <w:sz w:val="28"/>
                <w:szCs w:val="28"/>
                <w:color w:val="auto"/>
                <w:w w:val="99"/>
              </w:rPr>
              <w:t>657</w:t>
            </w:r>
          </w:p>
        </w:tc>
        <w:tc>
          <w:tcPr>
            <w:tcW w:w="72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32"/>
        </w:trPr>
        <w:tc>
          <w:tcPr>
            <w:tcW w:w="4880" w:type="dxa"/>
            <w:vAlign w:val="bottom"/>
          </w:tcPr>
          <w:p>
            <w:pPr>
              <w:ind w:left="40"/>
              <w:spacing w:after="0"/>
              <w:rPr>
                <w:sz w:val="20"/>
                <w:szCs w:val="20"/>
                <w:color w:val="auto"/>
              </w:rPr>
            </w:pPr>
            <w:r>
              <w:rPr>
                <w:rFonts w:ascii="Times New Roman" w:cs="Times New Roman" w:eastAsia="Times New Roman" w:hAnsi="Times New Roman"/>
                <w:sz w:val="28"/>
                <w:szCs w:val="28"/>
                <w:color w:val="auto"/>
              </w:rPr>
              <w:t>стоимости</w:t>
            </w:r>
          </w:p>
        </w:tc>
        <w:tc>
          <w:tcPr>
            <w:tcW w:w="92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64"/>
        </w:trPr>
        <w:tc>
          <w:tcPr>
            <w:tcW w:w="4880" w:type="dxa"/>
            <w:vAlign w:val="bottom"/>
          </w:tcPr>
          <w:p>
            <w:pPr>
              <w:spacing w:after="0"/>
              <w:rPr>
                <w:sz w:val="20"/>
                <w:szCs w:val="20"/>
                <w:color w:val="auto"/>
              </w:rPr>
            </w:pPr>
            <w:r>
              <w:rPr>
                <w:rFonts w:ascii="Times New Roman" w:cs="Times New Roman" w:eastAsia="Times New Roman" w:hAnsi="Times New Roman"/>
                <w:sz w:val="28"/>
                <w:szCs w:val="28"/>
                <w:color w:val="auto"/>
              </w:rPr>
              <w:t>Стоимость компании</w:t>
            </w:r>
          </w:p>
        </w:tc>
        <w:tc>
          <w:tcPr>
            <w:tcW w:w="92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1480" w:type="dxa"/>
            <w:vAlign w:val="bottom"/>
            <w:gridSpan w:val="2"/>
          </w:tcPr>
          <w:p>
            <w:pPr>
              <w:jc w:val="center"/>
              <w:spacing w:after="0"/>
              <w:rPr>
                <w:sz w:val="20"/>
                <w:szCs w:val="20"/>
                <w:color w:val="auto"/>
              </w:rPr>
            </w:pPr>
            <w:r>
              <w:rPr>
                <w:rFonts w:ascii="Times New Roman" w:cs="Times New Roman" w:eastAsia="Times New Roman" w:hAnsi="Times New Roman"/>
                <w:sz w:val="28"/>
                <w:szCs w:val="28"/>
                <w:color w:val="auto"/>
                <w:w w:val="99"/>
              </w:rPr>
              <w:t>1607</w:t>
            </w:r>
          </w:p>
        </w:tc>
        <w:tc>
          <w:tcPr>
            <w:tcW w:w="72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162560</wp:posOffset>
                </wp:positionH>
                <wp:positionV relativeFrom="paragraph">
                  <wp:posOffset>-2992755</wp:posOffset>
                </wp:positionV>
                <wp:extent cx="5958840" cy="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5884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5" o:spid="_x0000_s10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8pt,-235.6499pt" to="482pt,-235.6499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3366135</wp:posOffset>
                </wp:positionH>
                <wp:positionV relativeFrom="paragraph">
                  <wp:posOffset>-2995930</wp:posOffset>
                </wp:positionV>
                <wp:extent cx="0" cy="2990215"/>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99021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65.05pt,-235.8999pt" to="265.05pt,-0.4499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6118225</wp:posOffset>
                </wp:positionH>
                <wp:positionV relativeFrom="paragraph">
                  <wp:posOffset>-2995930</wp:posOffset>
                </wp:positionV>
                <wp:extent cx="0" cy="2990215"/>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99021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7" o:spid="_x0000_s10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1.75pt,-235.8999pt" to="481.75pt,-0.4499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3362960</wp:posOffset>
                </wp:positionH>
                <wp:positionV relativeFrom="paragraph">
                  <wp:posOffset>-2782570</wp:posOffset>
                </wp:positionV>
                <wp:extent cx="2758440" cy="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75844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8" o:spid="_x0000_s10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64.8pt,-219.0999pt" to="482pt,-219.0999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165735</wp:posOffset>
                </wp:positionH>
                <wp:positionV relativeFrom="paragraph">
                  <wp:posOffset>-2995930</wp:posOffset>
                </wp:positionV>
                <wp:extent cx="0" cy="2990215"/>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99021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9" o:spid="_x0000_s10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05pt,-235.8999pt" to="13.05pt,-0.4499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3853815</wp:posOffset>
                </wp:positionH>
                <wp:positionV relativeFrom="paragraph">
                  <wp:posOffset>-2785745</wp:posOffset>
                </wp:positionV>
                <wp:extent cx="0" cy="191135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91135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0" o:spid="_x0000_s10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45pt,-219.3499pt" to="303.45pt,-68.8499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4307205</wp:posOffset>
                </wp:positionH>
                <wp:positionV relativeFrom="paragraph">
                  <wp:posOffset>-2785745</wp:posOffset>
                </wp:positionV>
                <wp:extent cx="0" cy="191135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91135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1" o:spid="_x0000_s10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39.15pt,-219.3499pt" to="339.15pt,-68.8499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4726305</wp:posOffset>
                </wp:positionH>
                <wp:positionV relativeFrom="paragraph">
                  <wp:posOffset>-2785745</wp:posOffset>
                </wp:positionV>
                <wp:extent cx="0" cy="191135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91135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2" o:spid="_x0000_s10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72.15pt,-219.3499pt" to="372.15pt,-68.8499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5224780</wp:posOffset>
                </wp:positionH>
                <wp:positionV relativeFrom="paragraph">
                  <wp:posOffset>-2785745</wp:posOffset>
                </wp:positionV>
                <wp:extent cx="0" cy="191135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91135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3" o:spid="_x0000_s10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11.4pt,-219.3499pt" to="411.4pt,-68.8499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5688965</wp:posOffset>
                </wp:positionH>
                <wp:positionV relativeFrom="paragraph">
                  <wp:posOffset>-2785745</wp:posOffset>
                </wp:positionV>
                <wp:extent cx="0" cy="191135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91135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4" o:spid="_x0000_s10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47.95pt,-219.3499pt" to="447.95pt,-68.8499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162560</wp:posOffset>
                </wp:positionH>
                <wp:positionV relativeFrom="paragraph">
                  <wp:posOffset>-2571115</wp:posOffset>
                </wp:positionV>
                <wp:extent cx="5958840" cy="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5884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5" o:spid="_x0000_s10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8pt,-202.4499pt" to="482pt,-202.4499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162560</wp:posOffset>
                </wp:positionH>
                <wp:positionV relativeFrom="paragraph">
                  <wp:posOffset>-2355215</wp:posOffset>
                </wp:positionV>
                <wp:extent cx="5958840" cy="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5884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6" o:spid="_x0000_s105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8pt,-185.4499pt" to="482pt,-185.4499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162560</wp:posOffset>
                </wp:positionH>
                <wp:positionV relativeFrom="paragraph">
                  <wp:posOffset>-2143760</wp:posOffset>
                </wp:positionV>
                <wp:extent cx="5958840" cy="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5884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7" o:spid="_x0000_s10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8pt,-168.7999pt" to="482pt,-168.7999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162560</wp:posOffset>
                </wp:positionH>
                <wp:positionV relativeFrom="paragraph">
                  <wp:posOffset>-1728470</wp:posOffset>
                </wp:positionV>
                <wp:extent cx="5958840" cy="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5884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8" o:spid="_x0000_s105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8pt,-136.0999pt" to="482pt,-136.0999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162560</wp:posOffset>
                </wp:positionH>
                <wp:positionV relativeFrom="paragraph">
                  <wp:posOffset>-1517650</wp:posOffset>
                </wp:positionV>
                <wp:extent cx="5958840" cy="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5884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9" o:spid="_x0000_s105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8pt,-119.4999pt" to="482pt,-119.4999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162560</wp:posOffset>
                </wp:positionH>
                <wp:positionV relativeFrom="paragraph">
                  <wp:posOffset>-1307465</wp:posOffset>
                </wp:positionV>
                <wp:extent cx="5958840" cy="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5884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0" o:spid="_x0000_s105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8pt,-102.9499pt" to="482pt,-102.9499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162560</wp:posOffset>
                </wp:positionH>
                <wp:positionV relativeFrom="paragraph">
                  <wp:posOffset>-1095375</wp:posOffset>
                </wp:positionV>
                <wp:extent cx="5958840" cy="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5884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1" o:spid="_x0000_s105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8pt,-86.2499pt" to="482pt,-86.2499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162560</wp:posOffset>
                </wp:positionH>
                <wp:positionV relativeFrom="paragraph">
                  <wp:posOffset>-877570</wp:posOffset>
                </wp:positionV>
                <wp:extent cx="5958840" cy="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5884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2" o:spid="_x0000_s105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8pt,-69.0999pt" to="482pt,-69.0999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162560</wp:posOffset>
                </wp:positionH>
                <wp:positionV relativeFrom="paragraph">
                  <wp:posOffset>-635000</wp:posOffset>
                </wp:positionV>
                <wp:extent cx="5958840" cy="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5884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3" o:spid="_x0000_s105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8pt,-50pt" to="482pt,-50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162560</wp:posOffset>
                </wp:positionH>
                <wp:positionV relativeFrom="paragraph">
                  <wp:posOffset>-219710</wp:posOffset>
                </wp:positionV>
                <wp:extent cx="5958840" cy="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5884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4" o:spid="_x0000_s105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8pt,-17.2999pt" to="482pt,-17.2999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162560</wp:posOffset>
                </wp:positionH>
                <wp:positionV relativeFrom="paragraph">
                  <wp:posOffset>-8890</wp:posOffset>
                </wp:positionV>
                <wp:extent cx="5958840" cy="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5884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5" o:spid="_x0000_s10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8pt,-0.6999pt" to="482pt,-0.6999pt" o:allowincell="f" strokecolor="#000000" strokeweight="0.48pt"/>
            </w:pict>
          </mc:Fallback>
        </mc:AlternateContent>
      </w:r>
    </w:p>
    <w:p>
      <w:pPr>
        <w:sectPr>
          <w:pgSz w:w="11900" w:h="16840" w:orient="portrait"/>
          <w:cols w:equalWidth="0" w:num="1">
            <w:col w:w="9760"/>
          </w:cols>
          <w:pgMar w:left="1440" w:top="1112" w:right="704" w:bottom="16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ind w:left="9380"/>
        <w:spacing w:after="0"/>
        <w:rPr>
          <w:sz w:val="20"/>
          <w:szCs w:val="20"/>
          <w:color w:val="auto"/>
        </w:rPr>
      </w:pPr>
      <w:r>
        <w:rPr>
          <w:rFonts w:ascii="Times New Roman" w:cs="Times New Roman" w:eastAsia="Times New Roman" w:hAnsi="Times New Roman"/>
          <w:sz w:val="24"/>
          <w:szCs w:val="24"/>
          <w:color w:val="auto"/>
        </w:rPr>
        <w:t>53</w:t>
      </w:r>
    </w:p>
    <w:p>
      <w:pPr>
        <w:sectPr>
          <w:pgSz w:w="11900" w:h="16840" w:orient="portrait"/>
          <w:cols w:equalWidth="0" w:num="1">
            <w:col w:w="9760"/>
          </w:cols>
          <w:pgMar w:left="1440" w:top="1112" w:right="704" w:bottom="163" w:gutter="0" w:footer="0" w:header="0"/>
          <w:type w:val="continuous"/>
        </w:sectPr>
      </w:pPr>
    </w:p>
    <w:p>
      <w:pPr>
        <w:jc w:val="both"/>
        <w:ind w:left="260" w:firstLine="720"/>
        <w:spacing w:after="0"/>
        <w:rPr>
          <w:sz w:val="20"/>
          <w:szCs w:val="20"/>
          <w:color w:val="auto"/>
        </w:rPr>
      </w:pPr>
      <w:r>
        <w:rPr>
          <w:rFonts w:ascii="Times New Roman" w:cs="Times New Roman" w:eastAsia="Times New Roman" w:hAnsi="Times New Roman"/>
          <w:sz w:val="28"/>
          <w:szCs w:val="28"/>
          <w:color w:val="auto"/>
        </w:rPr>
        <w:t>Стоимость компании, определенная методом дисконтирования «бездолгового» денежного потока (FCF), равна тому же значению, что при использовании параметров EVA, SVA.</w:t>
      </w:r>
    </w:p>
    <w:p>
      <w:pPr>
        <w:jc w:val="both"/>
        <w:ind w:left="260" w:firstLine="720"/>
        <w:spacing w:after="0"/>
        <w:rPr>
          <w:sz w:val="20"/>
          <w:szCs w:val="20"/>
          <w:color w:val="auto"/>
        </w:rPr>
      </w:pPr>
      <w:r>
        <w:rPr>
          <w:rFonts w:ascii="Times New Roman" w:cs="Times New Roman" w:eastAsia="Times New Roman" w:hAnsi="Times New Roman"/>
          <w:sz w:val="28"/>
          <w:szCs w:val="28"/>
          <w:color w:val="auto"/>
        </w:rPr>
        <w:t>Фактически SVA, и EVA представляют собой частные случаи денежного потока и фиксируются как показатели при использовании несколько иного расчета, ставящего акценты на другие характеристики, необходимые для управления стоимостью компании.</w:t>
      </w:r>
    </w:p>
    <w:p>
      <w:pPr>
        <w:spacing w:after="0" w:line="2" w:lineRule="exact"/>
        <w:rPr>
          <w:sz w:val="20"/>
          <w:szCs w:val="20"/>
          <w:color w:val="auto"/>
        </w:rPr>
      </w:pPr>
    </w:p>
    <w:p>
      <w:pPr>
        <w:jc w:val="both"/>
        <w:ind w:left="260" w:firstLine="720"/>
        <w:spacing w:after="0" w:line="243" w:lineRule="auto"/>
        <w:rPr>
          <w:sz w:val="20"/>
          <w:szCs w:val="20"/>
          <w:color w:val="auto"/>
        </w:rPr>
      </w:pPr>
      <w:r>
        <w:rPr>
          <w:rFonts w:ascii="Times New Roman" w:cs="Times New Roman" w:eastAsia="Times New Roman" w:hAnsi="Times New Roman"/>
          <w:sz w:val="28"/>
          <w:szCs w:val="28"/>
          <w:i w:val="1"/>
          <w:iCs w:val="1"/>
          <w:color w:val="auto"/>
        </w:rPr>
        <w:t xml:space="preserve">Преимущества показателя акционерной добавленной стоимости SVA по сравнению с показателем EVA. </w:t>
      </w:r>
      <w:r>
        <w:rPr>
          <w:rFonts w:ascii="Times New Roman" w:cs="Times New Roman" w:eastAsia="Times New Roman" w:hAnsi="Times New Roman"/>
          <w:sz w:val="28"/>
          <w:szCs w:val="28"/>
          <w:color w:val="auto"/>
        </w:rPr>
        <w:t>SVA</w:t>
      </w:r>
      <w:r>
        <w:rPr>
          <w:rFonts w:ascii="Times New Roman" w:cs="Times New Roman" w:eastAsia="Times New Roman" w:hAnsi="Times New Roman"/>
          <w:sz w:val="28"/>
          <w:szCs w:val="28"/>
          <w:i w:val="1"/>
          <w:iCs w:val="1"/>
          <w:color w:val="auto"/>
        </w:rPr>
        <w:t xml:space="preserve"> </w:t>
      </w:r>
      <w:r>
        <w:rPr>
          <w:rFonts w:ascii="Times New Roman" w:cs="Times New Roman" w:eastAsia="Times New Roman" w:hAnsi="Times New Roman"/>
          <w:sz w:val="28"/>
          <w:szCs w:val="28"/>
          <w:color w:val="auto"/>
        </w:rPr>
        <w:t>имеет значительное преимущество,</w:t>
      </w:r>
      <w:r>
        <w:rPr>
          <w:rFonts w:ascii="Times New Roman" w:cs="Times New Roman" w:eastAsia="Times New Roman" w:hAnsi="Times New Roman"/>
          <w:sz w:val="28"/>
          <w:szCs w:val="28"/>
          <w:i w:val="1"/>
          <w:iCs w:val="1"/>
          <w:color w:val="auto"/>
        </w:rPr>
        <w:t xml:space="preserve"> </w:t>
      </w:r>
      <w:r>
        <w:rPr>
          <w:rFonts w:ascii="Times New Roman" w:cs="Times New Roman" w:eastAsia="Times New Roman" w:hAnsi="Times New Roman"/>
          <w:sz w:val="28"/>
          <w:szCs w:val="28"/>
          <w:color w:val="auto"/>
        </w:rPr>
        <w:t>заключающееся в оценке первоначальной величины инвестированного капитала по рыночным данным. В отличие от расчета с SVA при работе с помощью EVA предусматривается внесение большего количества корректировок при вычислении чистой операционной прибыли после налогообложения и первоначальной величины инвестированного капитал. Очевидно, что корректный расчет величины данных показателей будет определяющим при формировании выводов в рамках управления стоимостью компании.</w:t>
      </w:r>
    </w:p>
    <w:p>
      <w:pPr>
        <w:spacing w:after="0" w:line="280" w:lineRule="exact"/>
        <w:rPr>
          <w:sz w:val="20"/>
          <w:szCs w:val="20"/>
          <w:color w:val="auto"/>
        </w:rPr>
      </w:pPr>
    </w:p>
    <w:p>
      <w:pPr>
        <w:ind w:left="1780"/>
        <w:spacing w:after="0"/>
        <w:rPr>
          <w:sz w:val="20"/>
          <w:szCs w:val="20"/>
          <w:color w:val="auto"/>
        </w:rPr>
      </w:pPr>
      <w:r>
        <w:rPr>
          <w:rFonts w:ascii="Times New Roman" w:cs="Times New Roman" w:eastAsia="Times New Roman" w:hAnsi="Times New Roman"/>
          <w:sz w:val="28"/>
          <w:szCs w:val="28"/>
          <w:color w:val="auto"/>
        </w:rPr>
        <w:t>ЗАДАЧИ ДЛЯ САМОСТОЯТЕЛЬНОГО РЕШЕНИЯ</w:t>
      </w:r>
    </w:p>
    <w:p>
      <w:pPr>
        <w:spacing w:after="0" w:line="321" w:lineRule="exact"/>
        <w:rPr>
          <w:sz w:val="20"/>
          <w:szCs w:val="20"/>
          <w:color w:val="auto"/>
        </w:rPr>
      </w:pPr>
    </w:p>
    <w:p>
      <w:pPr>
        <w:jc w:val="both"/>
        <w:ind w:left="260" w:firstLine="722"/>
        <w:spacing w:after="0"/>
        <w:tabs>
          <w:tab w:leader="none" w:pos="1395" w:val="left"/>
        </w:tabs>
        <w:numPr>
          <w:ilvl w:val="1"/>
          <w:numId w:val="11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Выручка компании в базовом году составила 10 млн. долл.; прогнозируемые темпы роста продаж на ближайшие 6 лет - 10% в год. Начиная с седьмого года темпы роста продаж ежегодно будут снижаться - на 2% и к одиннадцатому году будут равны 0%. Рентабельность продаж (до уплаты налогов) в ближайшие 6 лет составит 10%, в период с седьмого по десятый годы - 9%; номинальная налоговая ставка - 24%. Для осуществления запланированного роста продаж компании необходимо купить новое оборудование на сумму 400 тыс. долл. в ближайшие 6 лет и на 200 тыс. долл.</w:t>
      </w:r>
    </w:p>
    <w:p>
      <w:pPr>
        <w:jc w:val="both"/>
        <w:ind w:left="260" w:firstLine="2"/>
        <w:spacing w:after="0" w:line="239" w:lineRule="auto"/>
        <w:tabs>
          <w:tab w:leader="none" w:pos="481" w:val="left"/>
        </w:tabs>
        <w:numPr>
          <w:ilvl w:val="0"/>
          <w:numId w:val="11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период с седьмого по десятый годы. Собственный оборотный капитал компании составляет 2% выручки; инвестированный капитал в базовом году</w:t>
      </w:r>
    </w:p>
    <w:p>
      <w:pPr>
        <w:spacing w:after="0" w:line="1" w:lineRule="exact"/>
        <w:rPr>
          <w:rFonts w:ascii="Times New Roman" w:cs="Times New Roman" w:eastAsia="Times New Roman" w:hAnsi="Times New Roman"/>
          <w:sz w:val="28"/>
          <w:szCs w:val="28"/>
          <w:color w:val="auto"/>
        </w:rPr>
      </w:pPr>
    </w:p>
    <w:p>
      <w:pPr>
        <w:jc w:val="both"/>
        <w:ind w:left="260" w:firstLine="2"/>
        <w:spacing w:after="0"/>
        <w:tabs>
          <w:tab w:leader="none" w:pos="453" w:val="left"/>
        </w:tabs>
        <w:numPr>
          <w:ilvl w:val="0"/>
          <w:numId w:val="11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9,5 млн. долл. Средневзвешенная стоимость капитала в ближайшие 10 лет будет 10%. Какова стоимость компании при расчете с помощью показателя</w:t>
      </w:r>
    </w:p>
    <w:p>
      <w:pPr>
        <w:ind w:left="26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EVA?</w:t>
      </w:r>
    </w:p>
    <w:p>
      <w:pPr>
        <w:spacing w:after="0" w:line="322" w:lineRule="exact"/>
        <w:rPr>
          <w:rFonts w:ascii="Times New Roman" w:cs="Times New Roman" w:eastAsia="Times New Roman" w:hAnsi="Times New Roman"/>
          <w:sz w:val="28"/>
          <w:szCs w:val="28"/>
          <w:color w:val="auto"/>
        </w:rPr>
      </w:pPr>
    </w:p>
    <w:p>
      <w:pPr>
        <w:jc w:val="both"/>
        <w:ind w:left="260" w:firstLine="722"/>
        <w:spacing w:after="0" w:line="243" w:lineRule="auto"/>
        <w:tabs>
          <w:tab w:leader="none" w:pos="1404" w:val="left"/>
        </w:tabs>
        <w:numPr>
          <w:ilvl w:val="1"/>
          <w:numId w:val="11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Выручка компании в базовом году составила 10 млн. долл. Прогнозируемые темпы роста продаж на ближайшие 6 лет достигнут 10 % в год. Начиная с седьмого года темпы роста продаж ежегодно будут снижаться на 2% в год. Рентабельность продаж (до уплаты налогов) в ближайшие 6 лет будет равна 10%, а в период с седьмого по десятый годы - 9%. Номинальная налоговая ставка составляет 24%. Для осуществления запланированного роста продаж компании необходимо купить новое оборудование на сумму 400 тыс. долл. в ближайшие 6 лет и на 200 тыс. долл. - в период с седьмого по десятый годы. Собственный оборотный капитал равен 2% выручки. Средневзвешенная стоимость капитала в ближайшие 10 лет будет 8%. Рассчитайте созданную акционерную добавленную стоимость.</w:t>
      </w:r>
    </w:p>
    <w:p>
      <w:pPr>
        <w:sectPr>
          <w:pgSz w:w="11900" w:h="16840" w:orient="portrait"/>
          <w:cols w:equalWidth="0" w:num="1">
            <w:col w:w="9620"/>
          </w:cols>
          <w:pgMar w:left="1440" w:top="1112" w:right="844" w:bottom="163" w:gutter="0" w:footer="0" w:header="0"/>
        </w:sectPr>
      </w:pPr>
    </w:p>
    <w:p>
      <w:pPr>
        <w:spacing w:after="0" w:line="190" w:lineRule="exact"/>
        <w:rPr>
          <w:sz w:val="20"/>
          <w:szCs w:val="20"/>
          <w:color w:val="auto"/>
        </w:rPr>
      </w:pPr>
    </w:p>
    <w:p>
      <w:pPr>
        <w:ind w:left="9380"/>
        <w:spacing w:after="0"/>
        <w:rPr>
          <w:sz w:val="20"/>
          <w:szCs w:val="20"/>
          <w:color w:val="auto"/>
        </w:rPr>
      </w:pPr>
      <w:r>
        <w:rPr>
          <w:rFonts w:ascii="Times New Roman" w:cs="Times New Roman" w:eastAsia="Times New Roman" w:hAnsi="Times New Roman"/>
          <w:sz w:val="24"/>
          <w:szCs w:val="24"/>
          <w:color w:val="auto"/>
        </w:rPr>
        <w:t>54</w:t>
      </w:r>
    </w:p>
    <w:p>
      <w:pPr>
        <w:sectPr>
          <w:pgSz w:w="11900" w:h="16840" w:orient="portrait"/>
          <w:cols w:equalWidth="0" w:num="1">
            <w:col w:w="9620"/>
          </w:cols>
          <w:pgMar w:left="1440" w:top="1112" w:right="844" w:bottom="163" w:gutter="0" w:footer="0" w:header="0"/>
          <w:type w:val="continuous"/>
        </w:sectPr>
      </w:pPr>
    </w:p>
    <w:p>
      <w:pPr>
        <w:ind w:left="2380" w:hanging="365"/>
        <w:spacing w:after="0"/>
        <w:tabs>
          <w:tab w:leader="none" w:pos="2380" w:val="left"/>
        </w:tabs>
        <w:numPr>
          <w:ilvl w:val="0"/>
          <w:numId w:val="11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ОПЦИОННЫЙ МЕТОД ОЦЕНКИ БИЗНЕСА</w:t>
      </w:r>
    </w:p>
    <w:p>
      <w:pPr>
        <w:spacing w:after="0" w:line="322" w:lineRule="exact"/>
        <w:rPr>
          <w:sz w:val="20"/>
          <w:szCs w:val="20"/>
          <w:color w:val="auto"/>
        </w:rPr>
      </w:pPr>
    </w:p>
    <w:p>
      <w:pPr>
        <w:jc w:val="center"/>
        <w:ind w:right="-259"/>
        <w:spacing w:after="0"/>
        <w:rPr>
          <w:sz w:val="20"/>
          <w:szCs w:val="20"/>
          <w:color w:val="auto"/>
        </w:rPr>
      </w:pPr>
      <w:r>
        <w:rPr>
          <w:rFonts w:ascii="Times New Roman" w:cs="Times New Roman" w:eastAsia="Times New Roman" w:hAnsi="Times New Roman"/>
          <w:sz w:val="28"/>
          <w:szCs w:val="28"/>
          <w:color w:val="auto"/>
        </w:rPr>
        <w:t>ДЕМОНСТРАЦИОННЫЕ ЗАДАЧИ</w:t>
      </w:r>
    </w:p>
    <w:p>
      <w:pPr>
        <w:spacing w:after="0" w:line="321" w:lineRule="exact"/>
        <w:rPr>
          <w:sz w:val="20"/>
          <w:szCs w:val="20"/>
          <w:color w:val="auto"/>
        </w:rPr>
      </w:pPr>
    </w:p>
    <w:p>
      <w:pPr>
        <w:jc w:val="both"/>
        <w:ind w:left="260" w:firstLine="709"/>
        <w:spacing w:after="0"/>
        <w:rPr>
          <w:sz w:val="20"/>
          <w:szCs w:val="20"/>
          <w:color w:val="auto"/>
        </w:rPr>
      </w:pPr>
      <w:r>
        <w:rPr>
          <w:rFonts w:ascii="Times New Roman" w:cs="Times New Roman" w:eastAsia="Times New Roman" w:hAnsi="Times New Roman"/>
          <w:sz w:val="28"/>
          <w:szCs w:val="28"/>
          <w:u w:val="single" w:color="auto"/>
          <w:color w:val="auto"/>
        </w:rPr>
        <w:t>Задача</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u w:val="single" w:color="auto"/>
          <w:color w:val="auto"/>
        </w:rPr>
        <w:t>7.1.</w:t>
      </w:r>
      <w:r>
        <w:rPr>
          <w:rFonts w:ascii="Times New Roman" w:cs="Times New Roman" w:eastAsia="Times New Roman" w:hAnsi="Times New Roman"/>
          <w:sz w:val="28"/>
          <w:szCs w:val="28"/>
          <w:color w:val="auto"/>
        </w:rPr>
        <w:t xml:space="preserve"> Намечается инвестиционный проект по освоению новой продукции. Проект предполагает приобретение специального низколиквидного технологического оборудования ценой в 50 тыс. руб.</w:t>
      </w:r>
    </w:p>
    <w:p>
      <w:pPr>
        <w:jc w:val="both"/>
        <w:ind w:left="260" w:firstLine="711"/>
        <w:spacing w:after="0" w:line="204" w:lineRule="auto"/>
        <w:tabs>
          <w:tab w:leader="none" w:pos="1569" w:val="left"/>
        </w:tabs>
        <w:numPr>
          <w:ilvl w:val="0"/>
          <w:numId w:val="11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бизнес-плане проекта предусмотрены три сценария - оптимистический, пессимистический и наиболее вероятный. Если будет выполняться оптимистический сценарий, то величина чистого дисконтированного дохода проекта NPV</w:t>
      </w:r>
      <w:r>
        <w:rPr>
          <w:rFonts w:ascii="Times New Roman" w:cs="Times New Roman" w:eastAsia="Times New Roman" w:hAnsi="Times New Roman"/>
          <w:sz w:val="36"/>
          <w:szCs w:val="36"/>
          <w:color w:val="auto"/>
          <w:vertAlign w:val="subscript"/>
        </w:rPr>
        <w:t>опт</w:t>
      </w:r>
      <w:r>
        <w:rPr>
          <w:rFonts w:ascii="Times New Roman" w:cs="Times New Roman" w:eastAsia="Times New Roman" w:hAnsi="Times New Roman"/>
          <w:sz w:val="28"/>
          <w:szCs w:val="28"/>
          <w:color w:val="auto"/>
        </w:rPr>
        <w:t xml:space="preserve"> окажется равной 300 000 руб. Вероятность осуществления этого сценария р</w:t>
      </w:r>
      <w:r>
        <w:rPr>
          <w:rFonts w:ascii="Times New Roman" w:cs="Times New Roman" w:eastAsia="Times New Roman" w:hAnsi="Times New Roman"/>
          <w:sz w:val="36"/>
          <w:szCs w:val="36"/>
          <w:color w:val="auto"/>
          <w:vertAlign w:val="subscript"/>
        </w:rPr>
        <w:t>опт</w:t>
      </w:r>
      <w:r>
        <w:rPr>
          <w:rFonts w:ascii="Times New Roman" w:cs="Times New Roman" w:eastAsia="Times New Roman" w:hAnsi="Times New Roman"/>
          <w:sz w:val="28"/>
          <w:szCs w:val="28"/>
          <w:color w:val="auto"/>
        </w:rPr>
        <w:t xml:space="preserve"> = 0,2. Наиболее вероятный (с вероятностью р</w:t>
      </w:r>
      <w:r>
        <w:rPr>
          <w:rFonts w:ascii="Times New Roman" w:cs="Times New Roman" w:eastAsia="Times New Roman" w:hAnsi="Times New Roman"/>
          <w:sz w:val="36"/>
          <w:szCs w:val="36"/>
          <w:color w:val="auto"/>
          <w:vertAlign w:val="subscript"/>
        </w:rPr>
        <w:t>нв</w:t>
      </w:r>
      <w:r>
        <w:rPr>
          <w:rFonts w:ascii="Times New Roman" w:cs="Times New Roman" w:eastAsia="Times New Roman" w:hAnsi="Times New Roman"/>
          <w:sz w:val="28"/>
          <w:szCs w:val="28"/>
          <w:color w:val="auto"/>
        </w:rPr>
        <w:t xml:space="preserve"> = 0,5) сценарий развития проекта обеспечит его чистую текущую стоимость NPV</w:t>
      </w:r>
      <w:r>
        <w:rPr>
          <w:rFonts w:ascii="Times New Roman" w:cs="Times New Roman" w:eastAsia="Times New Roman" w:hAnsi="Times New Roman"/>
          <w:sz w:val="36"/>
          <w:szCs w:val="36"/>
          <w:color w:val="auto"/>
          <w:vertAlign w:val="subscript"/>
        </w:rPr>
        <w:t>нв</w:t>
      </w:r>
      <w:r>
        <w:rPr>
          <w:rFonts w:ascii="Times New Roman" w:cs="Times New Roman" w:eastAsia="Times New Roman" w:hAnsi="Times New Roman"/>
          <w:sz w:val="28"/>
          <w:szCs w:val="28"/>
          <w:color w:val="auto"/>
        </w:rPr>
        <w:t xml:space="preserve"> в размере 180 000 руб. В случае проявления пессимистического сценария проекта он характеризуется отрицательным чистым дисконтированным доходом NPV</w:t>
      </w:r>
      <w:r>
        <w:rPr>
          <w:rFonts w:ascii="Times New Roman" w:cs="Times New Roman" w:eastAsia="Times New Roman" w:hAnsi="Times New Roman"/>
          <w:sz w:val="36"/>
          <w:szCs w:val="36"/>
          <w:color w:val="auto"/>
          <w:vertAlign w:val="subscript"/>
        </w:rPr>
        <w:t>пес</w:t>
      </w:r>
      <w:r>
        <w:rPr>
          <w:rFonts w:ascii="Times New Roman" w:cs="Times New Roman" w:eastAsia="Times New Roman" w:hAnsi="Times New Roman"/>
          <w:sz w:val="28"/>
          <w:szCs w:val="28"/>
          <w:color w:val="auto"/>
        </w:rPr>
        <w:t xml:space="preserve"> величиной в -55 000 руб. Вероятность р</w:t>
      </w:r>
      <w:r>
        <w:rPr>
          <w:rFonts w:ascii="Times New Roman" w:cs="Times New Roman" w:eastAsia="Times New Roman" w:hAnsi="Times New Roman"/>
          <w:sz w:val="36"/>
          <w:szCs w:val="36"/>
          <w:color w:val="auto"/>
          <w:vertAlign w:val="subscript"/>
        </w:rPr>
        <w:t>пес</w:t>
      </w:r>
      <w:r>
        <w:rPr>
          <w:rFonts w:ascii="Times New Roman" w:cs="Times New Roman" w:eastAsia="Times New Roman" w:hAnsi="Times New Roman"/>
          <w:sz w:val="28"/>
          <w:szCs w:val="28"/>
          <w:color w:val="auto"/>
        </w:rPr>
        <w:t xml:space="preserve"> этого сценария составляет 0,3.</w:t>
      </w:r>
    </w:p>
    <w:p>
      <w:pPr>
        <w:spacing w:after="0" w:line="13" w:lineRule="exact"/>
        <w:rPr>
          <w:rFonts w:ascii="Times New Roman" w:cs="Times New Roman" w:eastAsia="Times New Roman" w:hAnsi="Times New Roman"/>
          <w:sz w:val="28"/>
          <w:szCs w:val="28"/>
          <w:color w:val="auto"/>
        </w:rPr>
      </w:pPr>
    </w:p>
    <w:p>
      <w:pPr>
        <w:jc w:val="both"/>
        <w:ind w:left="260" w:firstLine="709"/>
        <w:spacing w:after="0" w:line="219"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Срок, к истечению которого станет ясно, какой из сценариев проекта фактически осуществляется, равен трем месяцам. На этот же срок (Т</w:t>
      </w:r>
      <w:r>
        <w:rPr>
          <w:rFonts w:ascii="Times New Roman" w:cs="Times New Roman" w:eastAsia="Times New Roman" w:hAnsi="Times New Roman"/>
          <w:sz w:val="36"/>
          <w:szCs w:val="36"/>
          <w:color w:val="auto"/>
          <w:vertAlign w:val="subscript"/>
        </w:rPr>
        <w:t>опц</w:t>
      </w:r>
      <w:r>
        <w:rPr>
          <w:rFonts w:ascii="Times New Roman" w:cs="Times New Roman" w:eastAsia="Times New Roman" w:hAnsi="Times New Roman"/>
          <w:sz w:val="28"/>
          <w:szCs w:val="28"/>
          <w:color w:val="auto"/>
        </w:rPr>
        <w:t>) заключается опционное соглашение, согласно которому некое третье лицо обязуется приобрести покупаемое для проекта специальное технологическое оборудование по цене 40 000 руб. (здесь это цена исполнения опциона, она же - выручка В</w:t>
      </w:r>
      <w:r>
        <w:rPr>
          <w:rFonts w:ascii="Times New Roman" w:cs="Times New Roman" w:eastAsia="Times New Roman" w:hAnsi="Times New Roman"/>
          <w:sz w:val="36"/>
          <w:szCs w:val="36"/>
          <w:color w:val="auto"/>
          <w:vertAlign w:val="subscript"/>
        </w:rPr>
        <w:t>опц</w:t>
      </w:r>
      <w:r>
        <w:rPr>
          <w:rFonts w:ascii="Times New Roman" w:cs="Times New Roman" w:eastAsia="Times New Roman" w:hAnsi="Times New Roman"/>
          <w:sz w:val="28"/>
          <w:szCs w:val="28"/>
          <w:color w:val="auto"/>
        </w:rPr>
        <w:t xml:space="preserve"> от исполнения реального опциона).</w:t>
      </w:r>
    </w:p>
    <w:p>
      <w:pPr>
        <w:spacing w:after="0" w:line="1" w:lineRule="exact"/>
        <w:rPr>
          <w:rFonts w:ascii="Times New Roman" w:cs="Times New Roman" w:eastAsia="Times New Roman" w:hAnsi="Times New Roman"/>
          <w:sz w:val="28"/>
          <w:szCs w:val="28"/>
          <w:color w:val="auto"/>
        </w:rPr>
      </w:pPr>
    </w:p>
    <w:p>
      <w:pPr>
        <w:jc w:val="both"/>
        <w:ind w:left="260" w:firstLine="711"/>
        <w:spacing w:after="0"/>
        <w:tabs>
          <w:tab w:leader="none" w:pos="1393" w:val="left"/>
        </w:tabs>
        <w:numPr>
          <w:ilvl w:val="0"/>
          <w:numId w:val="11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обмен на обязательство по первому требованию приобрести указанное оборудование названное третье лицо получает возможность платить за поставляемую ему иную продукцию фирмы - инициатора проекта на 1 000 руб. в месяц меньше, чем причиталось бы за ее соответствующие объемы при расчете по рыночным ценам.</w:t>
      </w:r>
    </w:p>
    <w:p>
      <w:pPr>
        <w:ind w:left="260" w:firstLine="711"/>
        <w:spacing w:after="0" w:line="239" w:lineRule="auto"/>
        <w:tabs>
          <w:tab w:leader="none" w:pos="1276" w:val="left"/>
        </w:tabs>
        <w:numPr>
          <w:ilvl w:val="0"/>
          <w:numId w:val="11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первые три месяца по проекту планируются следующие денежные потоки: -50 000 руб.; -15 000 руб.; -5000 руб.</w:t>
      </w:r>
    </w:p>
    <w:p>
      <w:pPr>
        <w:spacing w:after="0" w:line="1" w:lineRule="exact"/>
        <w:rPr>
          <w:rFonts w:ascii="Times New Roman" w:cs="Times New Roman" w:eastAsia="Times New Roman" w:hAnsi="Times New Roman"/>
          <w:sz w:val="28"/>
          <w:szCs w:val="28"/>
          <w:color w:val="auto"/>
        </w:rPr>
      </w:pPr>
    </w:p>
    <w:p>
      <w:pPr>
        <w:ind w:left="98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Рекомендуемая месячная безрисковая ставка - 1%.</w:t>
      </w:r>
    </w:p>
    <w:p>
      <w:pPr>
        <w:jc w:val="both"/>
        <w:ind w:left="260" w:firstLine="709"/>
        <w:spacing w:after="0" w:line="255"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Следует ли приобретать описанный реальный опцион, и, если да, то насколько этот опцион может повысить средний ожидаемый чистый дисконтированный доход инвестиционного проекта.</w:t>
      </w:r>
    </w:p>
    <w:p>
      <w:pPr>
        <w:spacing w:after="0" w:line="261" w:lineRule="exact"/>
        <w:rPr>
          <w:sz w:val="20"/>
          <w:szCs w:val="20"/>
          <w:color w:val="auto"/>
        </w:rPr>
      </w:pPr>
    </w:p>
    <w:p>
      <w:pPr>
        <w:ind w:left="980"/>
        <w:spacing w:after="0"/>
        <w:rPr>
          <w:sz w:val="20"/>
          <w:szCs w:val="20"/>
          <w:color w:val="auto"/>
        </w:rPr>
      </w:pPr>
      <w:r>
        <w:rPr>
          <w:rFonts w:ascii="Times New Roman" w:cs="Times New Roman" w:eastAsia="Times New Roman" w:hAnsi="Times New Roman"/>
          <w:sz w:val="28"/>
          <w:szCs w:val="28"/>
          <w:u w:val="single" w:color="auto"/>
          <w:color w:val="auto"/>
        </w:rPr>
        <w:t>Решение.</w:t>
      </w:r>
    </w:p>
    <w:p>
      <w:pPr>
        <w:jc w:val="both"/>
        <w:ind w:left="260" w:firstLine="711"/>
        <w:spacing w:after="0" w:line="223" w:lineRule="auto"/>
        <w:tabs>
          <w:tab w:leader="none" w:pos="1226" w:val="left"/>
        </w:tabs>
        <w:numPr>
          <w:ilvl w:val="0"/>
          <w:numId w:val="11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задаче рассматривается опцион по выходу из проекта. Для оценки его эффективности кроме той информации, которая содержится в условиях задачи, необходимо также оценить показатель затрат Ц</w:t>
      </w:r>
      <w:r>
        <w:rPr>
          <w:rFonts w:ascii="Times New Roman" w:cs="Times New Roman" w:eastAsia="Times New Roman" w:hAnsi="Times New Roman"/>
          <w:sz w:val="36"/>
          <w:szCs w:val="36"/>
          <w:color w:val="auto"/>
          <w:vertAlign w:val="subscript"/>
        </w:rPr>
        <w:t>опц</w:t>
      </w:r>
      <w:r>
        <w:rPr>
          <w:rFonts w:ascii="Times New Roman" w:cs="Times New Roman" w:eastAsia="Times New Roman" w:hAnsi="Times New Roman"/>
          <w:sz w:val="28"/>
          <w:szCs w:val="28"/>
          <w:color w:val="auto"/>
        </w:rPr>
        <w:t xml:space="preserve"> на обеспечение этого опциона, приведенных к моменту оценки (т.е. начала проекта).</w:t>
      </w:r>
    </w:p>
    <w:p>
      <w:pPr>
        <w:spacing w:after="0" w:line="5" w:lineRule="exact"/>
        <w:rPr>
          <w:rFonts w:ascii="Times New Roman" w:cs="Times New Roman" w:eastAsia="Times New Roman" w:hAnsi="Times New Roman"/>
          <w:sz w:val="28"/>
          <w:szCs w:val="28"/>
          <w:color w:val="auto"/>
        </w:rPr>
      </w:pPr>
    </w:p>
    <w:p>
      <w:pPr>
        <w:jc w:val="both"/>
        <w:ind w:left="260" w:firstLine="709"/>
        <w:spacing w:after="0" w:line="24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Этот показатель может быть вычислен как капитализированная по модели Хоскальда величина ценовых льгот размером в 1 000 руб., предоставляемых лицу, обязавшемуся по первому требованию в течение трех месяцев выкупить имущество, продажа которого будет означать выход из проекта:</w:t>
      </w:r>
    </w:p>
    <w:p>
      <w:pPr>
        <w:sectPr>
          <w:pgSz w:w="11900" w:h="16840" w:orient="portrait"/>
          <w:cols w:equalWidth="0" w:num="1">
            <w:col w:w="9620"/>
          </w:cols>
          <w:pgMar w:left="1440" w:top="1112" w:right="844" w:bottom="163" w:gutter="0" w:footer="0" w:header="0"/>
        </w:sectPr>
      </w:pPr>
    </w:p>
    <w:p>
      <w:pPr>
        <w:spacing w:after="0" w:line="189" w:lineRule="exact"/>
        <w:rPr>
          <w:sz w:val="20"/>
          <w:szCs w:val="20"/>
          <w:color w:val="auto"/>
        </w:rPr>
      </w:pPr>
    </w:p>
    <w:p>
      <w:pPr>
        <w:ind w:left="9380"/>
        <w:spacing w:after="0"/>
        <w:rPr>
          <w:sz w:val="20"/>
          <w:szCs w:val="20"/>
          <w:color w:val="auto"/>
        </w:rPr>
      </w:pPr>
      <w:r>
        <w:rPr>
          <w:rFonts w:ascii="Times New Roman" w:cs="Times New Roman" w:eastAsia="Times New Roman" w:hAnsi="Times New Roman"/>
          <w:sz w:val="24"/>
          <w:szCs w:val="24"/>
          <w:color w:val="auto"/>
        </w:rPr>
        <w:t>55</w:t>
      </w:r>
    </w:p>
    <w:p>
      <w:pPr>
        <w:sectPr>
          <w:pgSz w:w="11900" w:h="16840" w:orient="portrait"/>
          <w:cols w:equalWidth="0" w:num="1">
            <w:col w:w="9620"/>
          </w:cols>
          <w:pgMar w:left="1440" w:top="1112" w:right="844" w:bottom="163" w:gutter="0" w:footer="0" w:header="0"/>
          <w:type w:val="continuous"/>
        </w:sectPr>
      </w:pPr>
    </w:p>
    <w:p>
      <w:pPr>
        <w:jc w:val="center"/>
        <w:ind w:right="-259"/>
        <w:spacing w:after="0"/>
        <w:rPr>
          <w:sz w:val="20"/>
          <w:szCs w:val="20"/>
          <w:color w:val="auto"/>
        </w:rPr>
      </w:pPr>
      <w:r>
        <w:rPr>
          <w:rFonts w:ascii="Times New Roman" w:cs="Times New Roman" w:eastAsia="Times New Roman" w:hAnsi="Times New Roman"/>
          <w:sz w:val="28"/>
          <w:szCs w:val="28"/>
          <w:color w:val="auto"/>
        </w:rPr>
        <w:t>Ц</w:t>
      </w:r>
      <w:r>
        <w:rPr>
          <w:rFonts w:ascii="Times New Roman" w:cs="Times New Roman" w:eastAsia="Times New Roman" w:hAnsi="Times New Roman"/>
          <w:sz w:val="36"/>
          <w:szCs w:val="36"/>
          <w:color w:val="auto"/>
          <w:vertAlign w:val="subscript"/>
        </w:rPr>
        <w:t>опц</w:t>
      </w:r>
      <w:r>
        <w:rPr>
          <w:rFonts w:ascii="Times New Roman" w:cs="Times New Roman" w:eastAsia="Times New Roman" w:hAnsi="Times New Roman"/>
          <w:sz w:val="28"/>
          <w:szCs w:val="28"/>
          <w:color w:val="auto"/>
        </w:rPr>
        <w:t xml:space="preserve"> = 1000/[0,01+0,01/((1+0,1)</w:t>
      </w:r>
      <w:r>
        <w:rPr>
          <w:rFonts w:ascii="Times New Roman" w:cs="Times New Roman" w:eastAsia="Times New Roman" w:hAnsi="Times New Roman"/>
          <w:sz w:val="36"/>
          <w:szCs w:val="36"/>
          <w:color w:val="auto"/>
          <w:vertAlign w:val="superscript"/>
        </w:rPr>
        <w:t>3</w:t>
      </w:r>
      <w:r>
        <w:rPr>
          <w:rFonts w:ascii="Times New Roman" w:cs="Times New Roman" w:eastAsia="Times New Roman" w:hAnsi="Times New Roman"/>
          <w:sz w:val="28"/>
          <w:szCs w:val="28"/>
          <w:color w:val="auto"/>
        </w:rPr>
        <w:t xml:space="preserve"> – 1)].</w:t>
      </w:r>
    </w:p>
    <w:p>
      <w:pPr>
        <w:spacing w:after="0" w:line="363" w:lineRule="exact"/>
        <w:rPr>
          <w:sz w:val="20"/>
          <w:szCs w:val="20"/>
          <w:color w:val="auto"/>
        </w:rPr>
      </w:pPr>
    </w:p>
    <w:p>
      <w:pPr>
        <w:jc w:val="both"/>
        <w:ind w:left="260" w:firstLine="709"/>
        <w:spacing w:after="0"/>
        <w:rPr>
          <w:sz w:val="20"/>
          <w:szCs w:val="20"/>
          <w:color w:val="auto"/>
        </w:rPr>
      </w:pPr>
      <w:r>
        <w:rPr>
          <w:rFonts w:ascii="Times New Roman" w:cs="Times New Roman" w:eastAsia="Times New Roman" w:hAnsi="Times New Roman"/>
          <w:sz w:val="28"/>
          <w:szCs w:val="28"/>
          <w:color w:val="auto"/>
        </w:rPr>
        <w:t>Теперь можно рассчитать, каков будет чистый дисконтированный доход прерванного проекта для случая подтверждения пессимистического сценария при использовании для выхода из проекта опциона на выход из проекта:</w:t>
      </w:r>
    </w:p>
    <w:p>
      <w:pPr>
        <w:spacing w:after="0" w:line="5" w:lineRule="exact"/>
        <w:rPr>
          <w:sz w:val="20"/>
          <w:szCs w:val="20"/>
          <w:color w:val="auto"/>
        </w:rPr>
      </w:pPr>
    </w:p>
    <w:p>
      <w:pPr>
        <w:ind w:left="2020"/>
        <w:spacing w:after="0"/>
        <w:rPr>
          <w:sz w:val="20"/>
          <w:szCs w:val="20"/>
          <w:color w:val="auto"/>
        </w:rPr>
      </w:pPr>
      <w:r>
        <w:rPr>
          <w:rFonts w:ascii="Times New Roman" w:cs="Times New Roman" w:eastAsia="Times New Roman" w:hAnsi="Times New Roman"/>
          <w:sz w:val="20"/>
          <w:szCs w:val="20"/>
          <w:color w:val="auto"/>
        </w:rPr>
        <w:t>Т</w:t>
      </w:r>
      <w:r>
        <w:rPr>
          <w:rFonts w:ascii="Times New Roman" w:cs="Times New Roman" w:eastAsia="Times New Roman" w:hAnsi="Times New Roman"/>
          <w:sz w:val="12"/>
          <w:szCs w:val="12"/>
          <w:color w:val="auto"/>
        </w:rPr>
        <w:t>опц</w:t>
      </w:r>
    </w:p>
    <w:p>
      <w:pPr>
        <w:ind w:left="680"/>
        <w:spacing w:after="0" w:line="219" w:lineRule="auto"/>
        <w:rPr>
          <w:sz w:val="20"/>
          <w:szCs w:val="20"/>
          <w:color w:val="auto"/>
        </w:rPr>
      </w:pPr>
      <w:r>
        <w:rPr>
          <w:rFonts w:ascii="Times New Roman" w:cs="Times New Roman" w:eastAsia="Times New Roman" w:hAnsi="Times New Roman"/>
          <w:sz w:val="27"/>
          <w:szCs w:val="27"/>
          <w:color w:val="auto"/>
        </w:rPr>
        <w:t>NPV</w:t>
      </w:r>
      <w:r>
        <w:rPr>
          <w:rFonts w:ascii="Times New Roman" w:cs="Times New Roman" w:eastAsia="Times New Roman" w:hAnsi="Times New Roman"/>
          <w:sz w:val="35"/>
          <w:szCs w:val="35"/>
          <w:color w:val="auto"/>
          <w:vertAlign w:val="subscript"/>
        </w:rPr>
        <w:t>опц.пес</w:t>
      </w:r>
      <w:r>
        <w:rPr>
          <w:rFonts w:ascii="Times New Roman" w:cs="Times New Roman" w:eastAsia="Times New Roman" w:hAnsi="Times New Roman"/>
          <w:sz w:val="27"/>
          <w:szCs w:val="27"/>
          <w:color w:val="auto"/>
        </w:rPr>
        <w:t xml:space="preserve"> = </w:t>
      </w:r>
      <w:r>
        <w:rPr>
          <w:rFonts w:ascii="Times New Roman" w:cs="Times New Roman" w:eastAsia="Times New Roman" w:hAnsi="Times New Roman"/>
          <w:sz w:val="31"/>
          <w:szCs w:val="31"/>
          <w:color w:val="auto"/>
        </w:rPr>
        <w:t>Σ</w:t>
      </w:r>
      <w:r>
        <w:rPr>
          <w:rFonts w:ascii="Times New Roman" w:cs="Times New Roman" w:eastAsia="Times New Roman" w:hAnsi="Times New Roman"/>
          <w:sz w:val="27"/>
          <w:szCs w:val="27"/>
          <w:color w:val="auto"/>
        </w:rPr>
        <w:t xml:space="preserve"> ДП</w:t>
      </w:r>
      <w:r>
        <w:rPr>
          <w:rFonts w:ascii="Times New Roman" w:cs="Times New Roman" w:eastAsia="Times New Roman" w:hAnsi="Times New Roman"/>
          <w:sz w:val="35"/>
          <w:szCs w:val="35"/>
          <w:color w:val="auto"/>
          <w:vertAlign w:val="subscript"/>
        </w:rPr>
        <w:t>tпес</w:t>
      </w:r>
      <w:r>
        <w:rPr>
          <w:rFonts w:ascii="Times New Roman" w:cs="Times New Roman" w:eastAsia="Times New Roman" w:hAnsi="Times New Roman"/>
          <w:sz w:val="27"/>
          <w:szCs w:val="27"/>
          <w:color w:val="auto"/>
        </w:rPr>
        <w:t>/(1+R)</w:t>
      </w:r>
      <w:r>
        <w:rPr>
          <w:rFonts w:ascii="Times New Roman" w:cs="Times New Roman" w:eastAsia="Times New Roman" w:hAnsi="Times New Roman"/>
          <w:sz w:val="35"/>
          <w:szCs w:val="35"/>
          <w:color w:val="auto"/>
          <w:vertAlign w:val="superscript"/>
        </w:rPr>
        <w:t>t</w:t>
      </w:r>
      <w:r>
        <w:rPr>
          <w:rFonts w:ascii="Times New Roman" w:cs="Times New Roman" w:eastAsia="Times New Roman" w:hAnsi="Times New Roman"/>
          <w:sz w:val="27"/>
          <w:szCs w:val="27"/>
          <w:color w:val="auto"/>
        </w:rPr>
        <w:t xml:space="preserve"> – Ц</w:t>
      </w:r>
      <w:r>
        <w:rPr>
          <w:rFonts w:ascii="Times New Roman" w:cs="Times New Roman" w:eastAsia="Times New Roman" w:hAnsi="Times New Roman"/>
          <w:sz w:val="35"/>
          <w:szCs w:val="35"/>
          <w:color w:val="auto"/>
          <w:vertAlign w:val="subscript"/>
        </w:rPr>
        <w:t>опц</w:t>
      </w:r>
      <w:r>
        <w:rPr>
          <w:rFonts w:ascii="Times New Roman" w:cs="Times New Roman" w:eastAsia="Times New Roman" w:hAnsi="Times New Roman"/>
          <w:sz w:val="27"/>
          <w:szCs w:val="27"/>
          <w:color w:val="auto"/>
        </w:rPr>
        <w:t xml:space="preserve"> + П</w:t>
      </w:r>
      <w:r>
        <w:rPr>
          <w:rFonts w:ascii="Times New Roman" w:cs="Times New Roman" w:eastAsia="Times New Roman" w:hAnsi="Times New Roman"/>
          <w:sz w:val="35"/>
          <w:szCs w:val="35"/>
          <w:color w:val="auto"/>
          <w:vertAlign w:val="subscript"/>
        </w:rPr>
        <w:t>опц</w:t>
      </w:r>
      <w:r>
        <w:rPr>
          <w:rFonts w:ascii="Times New Roman" w:cs="Times New Roman" w:eastAsia="Times New Roman" w:hAnsi="Times New Roman"/>
          <w:sz w:val="27"/>
          <w:szCs w:val="27"/>
          <w:color w:val="auto"/>
        </w:rPr>
        <w:t>/(1+R)</w:t>
      </w:r>
      <w:r>
        <w:rPr>
          <w:rFonts w:ascii="Times New Roman" w:cs="Times New Roman" w:eastAsia="Times New Roman" w:hAnsi="Times New Roman"/>
          <w:sz w:val="35"/>
          <w:szCs w:val="35"/>
          <w:color w:val="auto"/>
          <w:vertAlign w:val="superscript"/>
        </w:rPr>
        <w:t>Tопц</w:t>
      </w:r>
      <w:r>
        <w:rPr>
          <w:rFonts w:ascii="Times New Roman" w:cs="Times New Roman" w:eastAsia="Times New Roman" w:hAnsi="Times New Roman"/>
          <w:sz w:val="27"/>
          <w:szCs w:val="27"/>
          <w:color w:val="auto"/>
        </w:rPr>
        <w:t xml:space="preserve"> = (-50 000)/(1+0,01) +</w:t>
      </w:r>
    </w:p>
    <w:p>
      <w:pPr>
        <w:ind w:left="2080"/>
        <w:spacing w:after="0" w:line="209" w:lineRule="auto"/>
        <w:rPr>
          <w:sz w:val="20"/>
          <w:szCs w:val="20"/>
          <w:color w:val="auto"/>
        </w:rPr>
      </w:pPr>
      <w:r>
        <w:rPr>
          <w:rFonts w:ascii="Times New Roman" w:cs="Times New Roman" w:eastAsia="Times New Roman" w:hAnsi="Times New Roman"/>
          <w:sz w:val="20"/>
          <w:szCs w:val="20"/>
          <w:color w:val="auto"/>
        </w:rPr>
        <w:t>t=1</w:t>
      </w:r>
    </w:p>
    <w:p>
      <w:pPr>
        <w:spacing w:after="0" w:line="1"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7"/>
          <w:szCs w:val="27"/>
          <w:color w:val="auto"/>
        </w:rPr>
        <w:t>+(-15 000)/(1+0,01)</w:t>
      </w:r>
      <w:r>
        <w:rPr>
          <w:rFonts w:ascii="Times New Roman" w:cs="Times New Roman" w:eastAsia="Times New Roman" w:hAnsi="Times New Roman"/>
          <w:sz w:val="35"/>
          <w:szCs w:val="35"/>
          <w:color w:val="auto"/>
          <w:vertAlign w:val="superscript"/>
        </w:rPr>
        <w:t>2</w:t>
      </w:r>
      <w:r>
        <w:rPr>
          <w:rFonts w:ascii="Times New Roman" w:cs="Times New Roman" w:eastAsia="Times New Roman" w:hAnsi="Times New Roman"/>
          <w:sz w:val="27"/>
          <w:szCs w:val="27"/>
          <w:color w:val="auto"/>
        </w:rPr>
        <w:t xml:space="preserve"> + (-5000)/(1+0,01)</w:t>
      </w:r>
      <w:r>
        <w:rPr>
          <w:rFonts w:ascii="Times New Roman" w:cs="Times New Roman" w:eastAsia="Times New Roman" w:hAnsi="Times New Roman"/>
          <w:sz w:val="35"/>
          <w:szCs w:val="35"/>
          <w:color w:val="auto"/>
          <w:vertAlign w:val="superscript"/>
        </w:rPr>
        <w:t>3</w:t>
      </w:r>
      <w:r>
        <w:rPr>
          <w:rFonts w:ascii="Times New Roman" w:cs="Times New Roman" w:eastAsia="Times New Roman" w:hAnsi="Times New Roman"/>
          <w:sz w:val="27"/>
          <w:szCs w:val="27"/>
          <w:color w:val="auto"/>
        </w:rPr>
        <w:t xml:space="preserve"> - 2941 + 40 000/(1+0,01)</w:t>
      </w:r>
      <w:r>
        <w:rPr>
          <w:rFonts w:ascii="Times New Roman" w:cs="Times New Roman" w:eastAsia="Times New Roman" w:hAnsi="Times New Roman"/>
          <w:sz w:val="35"/>
          <w:szCs w:val="35"/>
          <w:color w:val="auto"/>
          <w:vertAlign w:val="superscript"/>
        </w:rPr>
        <w:t>3</w:t>
      </w:r>
      <w:r>
        <w:rPr>
          <w:rFonts w:ascii="Times New Roman" w:cs="Times New Roman" w:eastAsia="Times New Roman" w:hAnsi="Times New Roman"/>
          <w:sz w:val="27"/>
          <w:szCs w:val="27"/>
          <w:color w:val="auto"/>
        </w:rPr>
        <w:t xml:space="preserve"> = -32 006 руб.</w:t>
      </w:r>
    </w:p>
    <w:p>
      <w:pPr>
        <w:spacing w:after="0" w:line="266" w:lineRule="exact"/>
        <w:rPr>
          <w:sz w:val="20"/>
          <w:szCs w:val="20"/>
          <w:color w:val="auto"/>
        </w:rPr>
      </w:pPr>
    </w:p>
    <w:p>
      <w:pPr>
        <w:jc w:val="both"/>
        <w:ind w:left="260" w:firstLine="709"/>
        <w:spacing w:after="0"/>
        <w:rPr>
          <w:sz w:val="20"/>
          <w:szCs w:val="20"/>
          <w:color w:val="auto"/>
        </w:rPr>
      </w:pPr>
      <w:r>
        <w:rPr>
          <w:rFonts w:ascii="Times New Roman" w:cs="Times New Roman" w:eastAsia="Times New Roman" w:hAnsi="Times New Roman"/>
          <w:sz w:val="28"/>
          <w:szCs w:val="28"/>
          <w:color w:val="auto"/>
        </w:rPr>
        <w:t>При неиспользовании приобретаемого реального опциона в случае проявления оптимистического и наиболее вероятного из сценариев по проекту соответствующие этим сценариям текущие стоимости уменьшаются на «цену опциона» в 2941 руб. и становятся равными соответственно 297 059</w:t>
      </w:r>
    </w:p>
    <w:p>
      <w:pPr>
        <w:spacing w:after="0" w:line="1" w:lineRule="exact"/>
        <w:rPr>
          <w:sz w:val="20"/>
          <w:szCs w:val="20"/>
          <w:color w:val="auto"/>
        </w:rPr>
      </w:pPr>
    </w:p>
    <w:p>
      <w:pPr>
        <w:ind w:left="480" w:hanging="218"/>
        <w:spacing w:after="0"/>
        <w:tabs>
          <w:tab w:leader="none" w:pos="480" w:val="left"/>
        </w:tabs>
        <w:numPr>
          <w:ilvl w:val="0"/>
          <w:numId w:val="11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177 059 руб.</w:t>
      </w:r>
    </w:p>
    <w:p>
      <w:pPr>
        <w:jc w:val="both"/>
        <w:ind w:left="260" w:firstLine="709"/>
        <w:spacing w:after="0" w:line="255" w:lineRule="auto"/>
        <w:rPr>
          <w:sz w:val="20"/>
          <w:szCs w:val="20"/>
          <w:color w:val="auto"/>
        </w:rPr>
      </w:pPr>
      <w:r>
        <w:rPr>
          <w:rFonts w:ascii="Times New Roman" w:cs="Times New Roman" w:eastAsia="Times New Roman" w:hAnsi="Times New Roman"/>
          <w:sz w:val="28"/>
          <w:szCs w:val="28"/>
          <w:color w:val="auto"/>
        </w:rPr>
        <w:t>На основе полученных цифр можно сравнить величины средневзвешенных чистых дисконтированных доходов проекта с учетом приобретения рассматриваемого опциона и без его приобретения:</w:t>
      </w:r>
    </w:p>
    <w:p>
      <w:pPr>
        <w:spacing w:after="0" w:line="261" w:lineRule="exact"/>
        <w:rPr>
          <w:sz w:val="20"/>
          <w:szCs w:val="20"/>
          <w:color w:val="auto"/>
        </w:rPr>
      </w:pPr>
    </w:p>
    <w:p>
      <w:pPr>
        <w:jc w:val="center"/>
        <w:ind w:right="-259"/>
        <w:spacing w:after="0"/>
        <w:rPr>
          <w:sz w:val="20"/>
          <w:szCs w:val="20"/>
          <w:color w:val="auto"/>
        </w:rPr>
      </w:pPr>
      <w:r>
        <w:rPr>
          <w:rFonts w:ascii="Times New Roman" w:cs="Times New Roman" w:eastAsia="Times New Roman" w:hAnsi="Times New Roman"/>
          <w:sz w:val="28"/>
          <w:szCs w:val="28"/>
          <w:color w:val="auto"/>
        </w:rPr>
        <w:t>NPV</w:t>
      </w:r>
      <w:r>
        <w:rPr>
          <w:rFonts w:ascii="Times New Roman" w:cs="Times New Roman" w:eastAsia="Times New Roman" w:hAnsi="Times New Roman"/>
          <w:sz w:val="18"/>
          <w:szCs w:val="18"/>
          <w:color w:val="auto"/>
        </w:rPr>
        <w:t>опц</w:t>
      </w:r>
      <w:r>
        <w:rPr>
          <w:rFonts w:ascii="Times New Roman" w:cs="Times New Roman" w:eastAsia="Times New Roman" w:hAnsi="Times New Roman"/>
          <w:sz w:val="28"/>
          <w:szCs w:val="28"/>
          <w:color w:val="auto"/>
        </w:rPr>
        <w:t xml:space="preserve"> = NPV</w:t>
      </w:r>
      <w:r>
        <w:rPr>
          <w:rFonts w:ascii="Times New Roman" w:cs="Times New Roman" w:eastAsia="Times New Roman" w:hAnsi="Times New Roman"/>
          <w:sz w:val="18"/>
          <w:szCs w:val="18"/>
          <w:color w:val="auto"/>
        </w:rPr>
        <w:t>опц.</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18"/>
          <w:szCs w:val="18"/>
          <w:color w:val="auto"/>
        </w:rPr>
        <w:t>опт</w:t>
      </w:r>
      <w:r>
        <w:rPr>
          <w:rFonts w:ascii="Times New Roman" w:cs="Times New Roman" w:eastAsia="Times New Roman" w:hAnsi="Times New Roman"/>
          <w:sz w:val="28"/>
          <w:szCs w:val="28"/>
          <w:color w:val="auto"/>
        </w:rPr>
        <w:t xml:space="preserve"> · р</w:t>
      </w:r>
      <w:r>
        <w:rPr>
          <w:rFonts w:ascii="Times New Roman" w:cs="Times New Roman" w:eastAsia="Times New Roman" w:hAnsi="Times New Roman"/>
          <w:sz w:val="18"/>
          <w:szCs w:val="18"/>
          <w:color w:val="auto"/>
        </w:rPr>
        <w:t>опт</w:t>
      </w:r>
      <w:r>
        <w:rPr>
          <w:rFonts w:ascii="Times New Roman" w:cs="Times New Roman" w:eastAsia="Times New Roman" w:hAnsi="Times New Roman"/>
          <w:sz w:val="28"/>
          <w:szCs w:val="28"/>
          <w:color w:val="auto"/>
        </w:rPr>
        <w:t xml:space="preserve"> + NPV</w:t>
      </w:r>
      <w:r>
        <w:rPr>
          <w:rFonts w:ascii="Times New Roman" w:cs="Times New Roman" w:eastAsia="Times New Roman" w:hAnsi="Times New Roman"/>
          <w:sz w:val="18"/>
          <w:szCs w:val="18"/>
          <w:color w:val="auto"/>
        </w:rPr>
        <w:t>опц.н.в.</w:t>
      </w:r>
      <w:r>
        <w:rPr>
          <w:rFonts w:ascii="Times New Roman" w:cs="Times New Roman" w:eastAsia="Times New Roman" w:hAnsi="Times New Roman"/>
          <w:sz w:val="28"/>
          <w:szCs w:val="28"/>
          <w:color w:val="auto"/>
        </w:rPr>
        <w:t>· р</w:t>
      </w:r>
      <w:r>
        <w:rPr>
          <w:rFonts w:ascii="Times New Roman" w:cs="Times New Roman" w:eastAsia="Times New Roman" w:hAnsi="Times New Roman"/>
          <w:sz w:val="18"/>
          <w:szCs w:val="18"/>
          <w:color w:val="auto"/>
        </w:rPr>
        <w:t>н.в.</w:t>
      </w:r>
      <w:r>
        <w:rPr>
          <w:rFonts w:ascii="Times New Roman" w:cs="Times New Roman" w:eastAsia="Times New Roman" w:hAnsi="Times New Roman"/>
          <w:sz w:val="28"/>
          <w:szCs w:val="28"/>
          <w:color w:val="auto"/>
        </w:rPr>
        <w:t xml:space="preserve">  + NPV</w:t>
      </w:r>
      <w:r>
        <w:rPr>
          <w:rFonts w:ascii="Times New Roman" w:cs="Times New Roman" w:eastAsia="Times New Roman" w:hAnsi="Times New Roman"/>
          <w:sz w:val="18"/>
          <w:szCs w:val="18"/>
          <w:color w:val="auto"/>
        </w:rPr>
        <w:t>опц.пес.</w:t>
      </w:r>
      <w:r>
        <w:rPr>
          <w:rFonts w:ascii="Times New Roman" w:cs="Times New Roman" w:eastAsia="Times New Roman" w:hAnsi="Times New Roman"/>
          <w:sz w:val="28"/>
          <w:szCs w:val="28"/>
          <w:color w:val="auto"/>
        </w:rPr>
        <w:t>· р</w:t>
      </w:r>
      <w:r>
        <w:rPr>
          <w:rFonts w:ascii="Times New Roman" w:cs="Times New Roman" w:eastAsia="Times New Roman" w:hAnsi="Times New Roman"/>
          <w:sz w:val="18"/>
          <w:szCs w:val="18"/>
          <w:color w:val="auto"/>
        </w:rPr>
        <w:t>пес</w:t>
      </w:r>
      <w:r>
        <w:rPr>
          <w:rFonts w:ascii="Times New Roman" w:cs="Times New Roman" w:eastAsia="Times New Roman" w:hAnsi="Times New Roman"/>
          <w:sz w:val="28"/>
          <w:szCs w:val="28"/>
          <w:color w:val="auto"/>
        </w:rPr>
        <w:t xml:space="preserve"> =</w:t>
      </w:r>
    </w:p>
    <w:p>
      <w:pPr>
        <w:spacing w:after="0" w:line="1" w:lineRule="exact"/>
        <w:rPr>
          <w:sz w:val="20"/>
          <w:szCs w:val="20"/>
          <w:color w:val="auto"/>
        </w:rPr>
      </w:pPr>
    </w:p>
    <w:p>
      <w:pPr>
        <w:ind w:left="1580"/>
        <w:spacing w:after="0"/>
        <w:rPr>
          <w:sz w:val="20"/>
          <w:szCs w:val="20"/>
          <w:color w:val="auto"/>
        </w:rPr>
      </w:pPr>
      <w:r>
        <w:rPr>
          <w:rFonts w:ascii="Times New Roman" w:cs="Times New Roman" w:eastAsia="Times New Roman" w:hAnsi="Times New Roman"/>
          <w:sz w:val="28"/>
          <w:szCs w:val="28"/>
          <w:color w:val="auto"/>
        </w:rPr>
        <w:t>= 297 059·0,2 + 177 059·0,5 + (-32 006)·0,3 = 115 936 руб.</w:t>
      </w:r>
    </w:p>
    <w:p>
      <w:pPr>
        <w:spacing w:after="0" w:line="189" w:lineRule="exact"/>
        <w:rPr>
          <w:sz w:val="20"/>
          <w:szCs w:val="20"/>
          <w:color w:val="auto"/>
        </w:rPr>
      </w:pPr>
    </w:p>
    <w:p>
      <w:pPr>
        <w:ind w:left="2240"/>
        <w:spacing w:after="0"/>
        <w:rPr>
          <w:sz w:val="20"/>
          <w:szCs w:val="20"/>
          <w:color w:val="auto"/>
        </w:rPr>
      </w:pPr>
      <w:r>
        <w:rPr>
          <w:rFonts w:ascii="Times New Roman" w:cs="Times New Roman" w:eastAsia="Times New Roman" w:hAnsi="Times New Roman"/>
          <w:sz w:val="28"/>
          <w:szCs w:val="28"/>
          <w:color w:val="auto"/>
        </w:rPr>
        <w:t>NPV = NPV</w:t>
      </w:r>
      <w:r>
        <w:rPr>
          <w:rFonts w:ascii="Times New Roman" w:cs="Times New Roman" w:eastAsia="Times New Roman" w:hAnsi="Times New Roman"/>
          <w:sz w:val="36"/>
          <w:szCs w:val="36"/>
          <w:color w:val="auto"/>
          <w:vertAlign w:val="subscript"/>
        </w:rPr>
        <w:t>опт</w:t>
      </w:r>
      <w:r>
        <w:rPr>
          <w:rFonts w:ascii="Times New Roman" w:cs="Times New Roman" w:eastAsia="Times New Roman" w:hAnsi="Times New Roman"/>
          <w:sz w:val="28"/>
          <w:szCs w:val="28"/>
          <w:color w:val="auto"/>
        </w:rPr>
        <w:t>·р</w:t>
      </w:r>
      <w:r>
        <w:rPr>
          <w:rFonts w:ascii="Times New Roman" w:cs="Times New Roman" w:eastAsia="Times New Roman" w:hAnsi="Times New Roman"/>
          <w:sz w:val="36"/>
          <w:szCs w:val="36"/>
          <w:color w:val="auto"/>
          <w:vertAlign w:val="subscript"/>
        </w:rPr>
        <w:t>опт</w:t>
      </w:r>
      <w:r>
        <w:rPr>
          <w:rFonts w:ascii="Times New Roman" w:cs="Times New Roman" w:eastAsia="Times New Roman" w:hAnsi="Times New Roman"/>
          <w:sz w:val="28"/>
          <w:szCs w:val="28"/>
          <w:color w:val="auto"/>
        </w:rPr>
        <w:t xml:space="preserve"> + NPV</w:t>
      </w:r>
      <w:r>
        <w:rPr>
          <w:rFonts w:ascii="Times New Roman" w:cs="Times New Roman" w:eastAsia="Times New Roman" w:hAnsi="Times New Roman"/>
          <w:sz w:val="36"/>
          <w:szCs w:val="36"/>
          <w:color w:val="auto"/>
          <w:vertAlign w:val="subscript"/>
        </w:rPr>
        <w:t>нв</w:t>
      </w:r>
      <w:r>
        <w:rPr>
          <w:rFonts w:ascii="Times New Roman" w:cs="Times New Roman" w:eastAsia="Times New Roman" w:hAnsi="Times New Roman"/>
          <w:sz w:val="28"/>
          <w:szCs w:val="28"/>
          <w:color w:val="auto"/>
        </w:rPr>
        <w:t>·р</w:t>
      </w:r>
      <w:r>
        <w:rPr>
          <w:rFonts w:ascii="Times New Roman" w:cs="Times New Roman" w:eastAsia="Times New Roman" w:hAnsi="Times New Roman"/>
          <w:sz w:val="36"/>
          <w:szCs w:val="36"/>
          <w:color w:val="auto"/>
          <w:vertAlign w:val="subscript"/>
        </w:rPr>
        <w:t>нв</w:t>
      </w:r>
      <w:r>
        <w:rPr>
          <w:rFonts w:ascii="Times New Roman" w:cs="Times New Roman" w:eastAsia="Times New Roman" w:hAnsi="Times New Roman"/>
          <w:sz w:val="28"/>
          <w:szCs w:val="28"/>
          <w:color w:val="auto"/>
        </w:rPr>
        <w:t xml:space="preserve"> + NPV</w:t>
      </w:r>
      <w:r>
        <w:rPr>
          <w:rFonts w:ascii="Times New Roman" w:cs="Times New Roman" w:eastAsia="Times New Roman" w:hAnsi="Times New Roman"/>
          <w:sz w:val="36"/>
          <w:szCs w:val="36"/>
          <w:color w:val="auto"/>
          <w:vertAlign w:val="subscript"/>
        </w:rPr>
        <w:t>пес</w:t>
      </w:r>
      <w:r>
        <w:rPr>
          <w:rFonts w:ascii="Times New Roman" w:cs="Times New Roman" w:eastAsia="Times New Roman" w:hAnsi="Times New Roman"/>
          <w:sz w:val="28"/>
          <w:szCs w:val="28"/>
          <w:color w:val="auto"/>
        </w:rPr>
        <w:t>·р</w:t>
      </w:r>
      <w:r>
        <w:rPr>
          <w:rFonts w:ascii="Times New Roman" w:cs="Times New Roman" w:eastAsia="Times New Roman" w:hAnsi="Times New Roman"/>
          <w:sz w:val="36"/>
          <w:szCs w:val="36"/>
          <w:color w:val="auto"/>
          <w:vertAlign w:val="subscript"/>
        </w:rPr>
        <w:t>пес</w:t>
      </w:r>
      <w:r>
        <w:rPr>
          <w:rFonts w:ascii="Times New Roman" w:cs="Times New Roman" w:eastAsia="Times New Roman" w:hAnsi="Times New Roman"/>
          <w:sz w:val="28"/>
          <w:szCs w:val="28"/>
          <w:color w:val="auto"/>
        </w:rPr>
        <w:t xml:space="preserve"> =</w:t>
      </w:r>
    </w:p>
    <w:p>
      <w:pPr>
        <w:spacing w:after="0" w:line="40" w:lineRule="exact"/>
        <w:rPr>
          <w:sz w:val="20"/>
          <w:szCs w:val="20"/>
          <w:color w:val="auto"/>
        </w:rPr>
      </w:pPr>
    </w:p>
    <w:p>
      <w:pPr>
        <w:ind w:left="1640"/>
        <w:spacing w:after="0"/>
        <w:rPr>
          <w:sz w:val="20"/>
          <w:szCs w:val="20"/>
          <w:color w:val="auto"/>
        </w:rPr>
      </w:pPr>
      <w:r>
        <w:rPr>
          <w:rFonts w:ascii="Times New Roman" w:cs="Times New Roman" w:eastAsia="Times New Roman" w:hAnsi="Times New Roman"/>
          <w:sz w:val="28"/>
          <w:szCs w:val="28"/>
          <w:color w:val="auto"/>
        </w:rPr>
        <w:t>= 300 000·0,2 + 180 000·0,5 + (-55 000)·0,3 = 95 000 руб.</w:t>
      </w:r>
    </w:p>
    <w:p>
      <w:pPr>
        <w:spacing w:after="0" w:line="322" w:lineRule="exact"/>
        <w:rPr>
          <w:sz w:val="20"/>
          <w:szCs w:val="20"/>
          <w:color w:val="auto"/>
        </w:rPr>
      </w:pPr>
    </w:p>
    <w:p>
      <w:pPr>
        <w:jc w:val="both"/>
        <w:ind w:left="260" w:firstLine="709"/>
        <w:spacing w:after="0" w:line="255" w:lineRule="auto"/>
        <w:rPr>
          <w:sz w:val="20"/>
          <w:szCs w:val="20"/>
          <w:color w:val="auto"/>
        </w:rPr>
      </w:pPr>
      <w:r>
        <w:rPr>
          <w:rFonts w:ascii="Times New Roman" w:cs="Times New Roman" w:eastAsia="Times New Roman" w:hAnsi="Times New Roman"/>
          <w:sz w:val="28"/>
          <w:szCs w:val="28"/>
          <w:color w:val="auto"/>
        </w:rPr>
        <w:t>Следовательно, использование описанного реального опциона приносит эффект (увеличивает средний ожидаемый дисконтированный доход проекта и оценку готовой к его проведению компании) в размере:</w:t>
      </w:r>
    </w:p>
    <w:p>
      <w:pPr>
        <w:spacing w:after="0" w:line="261" w:lineRule="exact"/>
        <w:rPr>
          <w:sz w:val="20"/>
          <w:szCs w:val="20"/>
          <w:color w:val="auto"/>
        </w:rPr>
      </w:pPr>
    </w:p>
    <w:p>
      <w:pPr>
        <w:ind w:left="3160" w:hanging="210"/>
        <w:spacing w:after="0"/>
        <w:tabs>
          <w:tab w:leader="none" w:pos="3160" w:val="left"/>
        </w:tabs>
        <w:numPr>
          <w:ilvl w:val="0"/>
          <w:numId w:val="11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115 936 - 95 000 = 20 936 руб.</w:t>
      </w:r>
    </w:p>
    <w:p>
      <w:pPr>
        <w:spacing w:after="0" w:line="322" w:lineRule="exact"/>
        <w:rPr>
          <w:sz w:val="20"/>
          <w:szCs w:val="20"/>
          <w:color w:val="auto"/>
        </w:rPr>
      </w:pPr>
    </w:p>
    <w:p>
      <w:pPr>
        <w:ind w:left="1780"/>
        <w:spacing w:after="0"/>
        <w:rPr>
          <w:sz w:val="20"/>
          <w:szCs w:val="20"/>
          <w:color w:val="auto"/>
        </w:rPr>
      </w:pPr>
      <w:r>
        <w:rPr>
          <w:rFonts w:ascii="Times New Roman" w:cs="Times New Roman" w:eastAsia="Times New Roman" w:hAnsi="Times New Roman"/>
          <w:sz w:val="28"/>
          <w:szCs w:val="28"/>
          <w:color w:val="auto"/>
        </w:rPr>
        <w:t>ЗАДАЧИ ДЛЯ САМОСТОЯТЕЛЬНОГО РЕШЕНИЯ</w:t>
      </w:r>
    </w:p>
    <w:p>
      <w:pPr>
        <w:spacing w:after="0" w:line="322" w:lineRule="exact"/>
        <w:rPr>
          <w:sz w:val="20"/>
          <w:szCs w:val="20"/>
          <w:color w:val="auto"/>
        </w:rPr>
      </w:pPr>
    </w:p>
    <w:p>
      <w:pPr>
        <w:jc w:val="both"/>
        <w:ind w:left="260" w:firstLine="722"/>
        <w:spacing w:after="0" w:line="243" w:lineRule="auto"/>
        <w:tabs>
          <w:tab w:leader="none" w:pos="1310" w:val="left"/>
        </w:tabs>
        <w:numPr>
          <w:ilvl w:val="0"/>
          <w:numId w:val="11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Текущая стоимость проекта составляет 100 д.е., а первоначальные инвестиции в него равны 90 д.е. Существует некоторая неопределенность относительно состояния проекта в будущем. Если в первый год будет высокий спрос на продукцию, производимую согласно проекту, то в конце года прибыль будет равна 12 д.е. и стоимость проекта к концу года увеличится до 120 д.е. Однако если спрос низкий, то к концу первого года прибыль будет составлять только 8 д.е. и в конце года стоимость проекта снизится до 80 д.е. Значение прибыли во втором году, а также рыночная стоимость проекта в конце года показаны на рисунке.</w:t>
      </w:r>
    </w:p>
    <w:p>
      <w:pPr>
        <w:sectPr>
          <w:pgSz w:w="11900" w:h="16840" w:orient="portrait"/>
          <w:cols w:equalWidth="0" w:num="1">
            <w:col w:w="9620"/>
          </w:cols>
          <w:pgMar w:left="1440" w:top="979" w:right="844" w:bottom="16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0" w:lineRule="exact"/>
        <w:rPr>
          <w:sz w:val="20"/>
          <w:szCs w:val="20"/>
          <w:color w:val="auto"/>
        </w:rPr>
      </w:pPr>
    </w:p>
    <w:p>
      <w:pPr>
        <w:ind w:left="9380"/>
        <w:spacing w:after="0"/>
        <w:rPr>
          <w:sz w:val="20"/>
          <w:szCs w:val="20"/>
          <w:color w:val="auto"/>
        </w:rPr>
      </w:pPr>
      <w:r>
        <w:rPr>
          <w:rFonts w:ascii="Times New Roman" w:cs="Times New Roman" w:eastAsia="Times New Roman" w:hAnsi="Times New Roman"/>
          <w:sz w:val="24"/>
          <w:szCs w:val="24"/>
          <w:color w:val="auto"/>
        </w:rPr>
        <w:t>56</w:t>
      </w:r>
    </w:p>
    <w:p>
      <w:pPr>
        <w:sectPr>
          <w:pgSz w:w="11900" w:h="16840" w:orient="portrait"/>
          <w:cols w:equalWidth="0" w:num="1">
            <w:col w:w="9620"/>
          </w:cols>
          <w:pgMar w:left="1440" w:top="979" w:right="844" w:bottom="163" w:gutter="0" w:footer="0" w:header="0"/>
          <w:type w:val="continuous"/>
        </w:sectPr>
      </w:pPr>
    </w:p>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1261110</wp:posOffset>
            </wp:positionH>
            <wp:positionV relativeFrom="page">
              <wp:posOffset>720090</wp:posOffset>
            </wp:positionV>
            <wp:extent cx="5815330" cy="235839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a:clrChange>
                        <a:clrFrom>
                          <a:srgbClr val="FFFFFF"/>
                        </a:clrFrom>
                        <a:clrTo>
                          <a:srgbClr val="FFFFFF">
                            <a:alpha val="0"/>
                          </a:srgbClr>
                        </a:clrTo>
                      </a:clrChange>
                      <a:extLst>
                        <a:ext uri="{28A0092B-C50C-407E-A947-70E740481C1C}"/>
                      </a:extLst>
                    </a:blip>
                    <a:srcRect/>
                    <a:stretch>
                      <a:fillRect/>
                    </a:stretch>
                  </pic:blipFill>
                  <pic:spPr bwMode="auto">
                    <a:xfrm>
                      <a:off x="0" y="0"/>
                      <a:ext cx="5815330" cy="23583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6" w:lineRule="exact"/>
        <w:rPr>
          <w:sz w:val="20"/>
          <w:szCs w:val="20"/>
          <w:color w:val="auto"/>
        </w:rPr>
      </w:pPr>
    </w:p>
    <w:p>
      <w:pPr>
        <w:jc w:val="center"/>
        <w:ind w:right="-259"/>
        <w:spacing w:after="0"/>
        <w:rPr>
          <w:sz w:val="20"/>
          <w:szCs w:val="20"/>
          <w:color w:val="auto"/>
        </w:rPr>
      </w:pPr>
      <w:r>
        <w:rPr>
          <w:rFonts w:ascii="Times New Roman" w:cs="Times New Roman" w:eastAsia="Times New Roman" w:hAnsi="Times New Roman"/>
          <w:sz w:val="28"/>
          <w:szCs w:val="28"/>
          <w:color w:val="auto"/>
        </w:rPr>
        <w:t>Рис. Схема денежных потоков проекта</w:t>
      </w:r>
    </w:p>
    <w:p>
      <w:pPr>
        <w:spacing w:after="0" w:line="321" w:lineRule="exact"/>
        <w:rPr>
          <w:sz w:val="20"/>
          <w:szCs w:val="20"/>
          <w:color w:val="auto"/>
        </w:rPr>
      </w:pPr>
    </w:p>
    <w:p>
      <w:pPr>
        <w:ind w:left="260" w:firstLine="720"/>
        <w:spacing w:after="0"/>
        <w:rPr>
          <w:sz w:val="20"/>
          <w:szCs w:val="20"/>
          <w:color w:val="auto"/>
        </w:rPr>
      </w:pPr>
      <w:r>
        <w:rPr>
          <w:rFonts w:ascii="Times New Roman" w:cs="Times New Roman" w:eastAsia="Times New Roman" w:hAnsi="Times New Roman"/>
          <w:sz w:val="28"/>
          <w:szCs w:val="28"/>
          <w:color w:val="auto"/>
        </w:rPr>
        <w:t>Можно ожидать, что характер изменения величины денежных потоков на промежуточных этапах проекта в последующие годы и стоимость проекта</w:t>
      </w:r>
    </w:p>
    <w:p>
      <w:pPr>
        <w:jc w:val="both"/>
        <w:ind w:left="260" w:firstLine="2"/>
        <w:spacing w:after="0" w:line="245" w:lineRule="auto"/>
        <w:tabs>
          <w:tab w:leader="none" w:pos="504" w:val="left"/>
        </w:tabs>
        <w:numPr>
          <w:ilvl w:val="1"/>
          <w:numId w:val="11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конце каждого года будет соответствовать отраженному на схеме. Кроме того, предполагается, что процентная ставка будет составлять 6% годовых в течение всего периода существования проекта. Также примем допущение, что отсрочка внедрения этого проекта более чем на два года невозможна. Проект имеет положительное значение NPV и поэтому должен быть когда-либо принят. Когда оптимально внедрять проект - немедленно или в какой-либо момент в течение последующих двух лет?</w:t>
      </w:r>
    </w:p>
    <w:p>
      <w:pPr>
        <w:spacing w:after="0" w:line="275" w:lineRule="exact"/>
        <w:rPr>
          <w:rFonts w:ascii="Times New Roman" w:cs="Times New Roman" w:eastAsia="Times New Roman" w:hAnsi="Times New Roman"/>
          <w:sz w:val="28"/>
          <w:szCs w:val="28"/>
          <w:color w:val="auto"/>
        </w:rPr>
      </w:pPr>
    </w:p>
    <w:p>
      <w:pPr>
        <w:jc w:val="both"/>
        <w:ind w:left="260" w:firstLine="722"/>
        <w:spacing w:after="0" w:line="245" w:lineRule="auto"/>
        <w:tabs>
          <w:tab w:leader="none" w:pos="1376" w:val="left"/>
        </w:tabs>
        <w:numPr>
          <w:ilvl w:val="2"/>
          <w:numId w:val="11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Компания имеет следующий бизнес: денежный поток к концу первого года составит 5000 д.е. при удачном стечении обстоятельств 1600 д.е. - при неблагоприятном. Ставка дисконтирования составляет 10% годовых. Предположим также, что каждые 6 мес. фирма может либо увеличить свою стоимость на 45%, либо уменьшить ее на 25%. Допустим также, что у компании имеется возможность продажи бизнеса в конце года за 2000 д.е. Какова будет стоимость опциона?</w:t>
      </w:r>
    </w:p>
    <w:p>
      <w:pPr>
        <w:spacing w:after="0" w:line="274" w:lineRule="exact"/>
        <w:rPr>
          <w:rFonts w:ascii="Times New Roman" w:cs="Times New Roman" w:eastAsia="Times New Roman" w:hAnsi="Times New Roman"/>
          <w:sz w:val="28"/>
          <w:szCs w:val="28"/>
          <w:color w:val="auto"/>
        </w:rPr>
      </w:pPr>
    </w:p>
    <w:p>
      <w:pPr>
        <w:jc w:val="both"/>
        <w:ind w:left="260" w:firstLine="722"/>
        <w:spacing w:after="0" w:line="239" w:lineRule="auto"/>
        <w:tabs>
          <w:tab w:leader="none" w:pos="1401" w:val="left"/>
        </w:tabs>
        <w:numPr>
          <w:ilvl w:val="2"/>
          <w:numId w:val="11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Компания рассматривает новую технологию для производства экологичных товаров. NPV проекта отрицательная и составит 200 тыс. руб. Однако руководство предприятия крайне заинтересовано в данном проекте, так как он может дать возможность выхода на новые рынки и реализовать последующий проект, NPV которого составляет 540 тыс. руб. Остальные параметры проекта таковы: инвестиционное решение должно быть принято в 2008 г.; инвестиции, требуемые в 2008 г., составят 2500 тыс. руб.; PV денежных потоков, ожидаемых в 2008 г., будет 1850 тыс. руб.; стандартное отклонение для аналогичных проектов достигнет 45%; требуемая ставка доходности для аналогичных высокотехнологичных проектов - 18% годовых,</w:t>
      </w:r>
    </w:p>
    <w:p>
      <w:pPr>
        <w:spacing w:after="0" w:line="13" w:lineRule="exact"/>
        <w:rPr>
          <w:rFonts w:ascii="Times New Roman" w:cs="Times New Roman" w:eastAsia="Times New Roman" w:hAnsi="Times New Roman"/>
          <w:sz w:val="28"/>
          <w:szCs w:val="28"/>
          <w:color w:val="auto"/>
        </w:rPr>
      </w:pPr>
    </w:p>
    <w:p>
      <w:pPr>
        <w:ind w:left="460" w:hanging="198"/>
        <w:spacing w:after="0"/>
        <w:tabs>
          <w:tab w:leader="none" w:pos="460" w:val="left"/>
        </w:tabs>
        <w:numPr>
          <w:ilvl w:val="0"/>
          <w:numId w:val="11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процентная ставка - 8%.</w:t>
      </w:r>
    </w:p>
    <w:p>
      <w:pPr>
        <w:ind w:left="980"/>
        <w:spacing w:after="0"/>
        <w:rPr>
          <w:sz w:val="20"/>
          <w:szCs w:val="20"/>
          <w:color w:val="auto"/>
        </w:rPr>
      </w:pPr>
      <w:r>
        <w:rPr>
          <w:rFonts w:ascii="Times New Roman" w:cs="Times New Roman" w:eastAsia="Times New Roman" w:hAnsi="Times New Roman"/>
          <w:sz w:val="28"/>
          <w:szCs w:val="28"/>
          <w:color w:val="auto"/>
        </w:rPr>
        <w:t>Какое инвестиционное решение будет оптимальным?</w:t>
      </w:r>
    </w:p>
    <w:p>
      <w:pPr>
        <w:spacing w:after="0" w:line="200" w:lineRule="exact"/>
        <w:rPr>
          <w:sz w:val="20"/>
          <w:szCs w:val="20"/>
          <w:color w:val="auto"/>
        </w:rPr>
      </w:pPr>
    </w:p>
    <w:p>
      <w:pPr>
        <w:spacing w:after="0" w:line="200" w:lineRule="exact"/>
        <w:rPr>
          <w:sz w:val="20"/>
          <w:szCs w:val="20"/>
          <w:color w:val="auto"/>
        </w:rPr>
      </w:pPr>
    </w:p>
    <w:p>
      <w:pPr>
        <w:spacing w:after="0" w:line="308" w:lineRule="exact"/>
        <w:rPr>
          <w:sz w:val="20"/>
          <w:szCs w:val="20"/>
          <w:color w:val="auto"/>
        </w:rPr>
      </w:pPr>
    </w:p>
    <w:p>
      <w:pPr>
        <w:ind w:left="9380"/>
        <w:spacing w:after="0"/>
        <w:rPr>
          <w:sz w:val="20"/>
          <w:szCs w:val="20"/>
          <w:color w:val="auto"/>
        </w:rPr>
      </w:pPr>
      <w:r>
        <w:rPr>
          <w:rFonts w:ascii="Times New Roman" w:cs="Times New Roman" w:eastAsia="Times New Roman" w:hAnsi="Times New Roman"/>
          <w:sz w:val="24"/>
          <w:szCs w:val="24"/>
          <w:color w:val="auto"/>
        </w:rPr>
        <w:t>57</w:t>
      </w:r>
    </w:p>
    <w:p>
      <w:pPr>
        <w:sectPr>
          <w:pgSz w:w="11900" w:h="16840" w:orient="portrait"/>
          <w:cols w:equalWidth="0" w:num="1">
            <w:col w:w="9620"/>
          </w:cols>
          <w:pgMar w:left="1440" w:top="1440" w:right="844" w:bottom="163" w:gutter="0" w:footer="0" w:header="0"/>
        </w:sectPr>
      </w:pPr>
    </w:p>
    <w:p>
      <w:pPr>
        <w:jc w:val="both"/>
        <w:ind w:left="260" w:firstLine="711"/>
        <w:spacing w:after="0" w:line="239" w:lineRule="auto"/>
        <w:tabs>
          <w:tab w:leader="none" w:pos="1500" w:val="left"/>
        </w:tabs>
        <w:numPr>
          <w:ilvl w:val="1"/>
          <w:numId w:val="12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Намечается инвестиционный проект по освоению нового технологического процесса. Проект предполагает приобретение специального низколиквидного технологического оборудования ценой в 70 тыс. руб.</w:t>
      </w:r>
    </w:p>
    <w:p>
      <w:pPr>
        <w:spacing w:after="0" w:line="5" w:lineRule="exact"/>
        <w:rPr>
          <w:rFonts w:ascii="Times New Roman" w:cs="Times New Roman" w:eastAsia="Times New Roman" w:hAnsi="Times New Roman"/>
          <w:sz w:val="28"/>
          <w:szCs w:val="28"/>
          <w:color w:val="auto"/>
        </w:rPr>
      </w:pPr>
    </w:p>
    <w:p>
      <w:pPr>
        <w:jc w:val="both"/>
        <w:ind w:left="260" w:firstLine="709"/>
        <w:spacing w:after="0" w:line="24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7"/>
          <w:szCs w:val="27"/>
          <w:color w:val="auto"/>
        </w:rPr>
        <w:t>В бизнес-плане проекта предусмотрены три сценария - оптимистический, пессимистический и наиболее вероятный. Если будет выполняться оптимистический сценарий, то величина чистого дисконтированного дохода проекта окажется равной 250 000 руб. Вероятность осуществления этого сценария 0,25. Наиболее вероятный (с вероятностью 0,6) сценарий развития проекта обеспечит его чистую текущую стоимость в размере 140 000 руб. В случае появления пессимистического сценария проекта он характеризуется отрицательным чистым дисконтированным доходом с величиной в -20 000 руб. Вероятность этого сценария составляет 0,15.</w:t>
      </w:r>
    </w:p>
    <w:p>
      <w:pPr>
        <w:spacing w:after="0" w:line="10" w:lineRule="exact"/>
        <w:rPr>
          <w:rFonts w:ascii="Times New Roman" w:cs="Times New Roman" w:eastAsia="Times New Roman" w:hAnsi="Times New Roman"/>
          <w:sz w:val="28"/>
          <w:szCs w:val="28"/>
          <w:color w:val="auto"/>
        </w:rPr>
      </w:pPr>
    </w:p>
    <w:p>
      <w:pPr>
        <w:jc w:val="both"/>
        <w:ind w:left="260" w:firstLine="709"/>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Срок, к истечению которого станет ясно, какой из сценариев проекта фактически осуществляется, равен четырем месяцам. На этот же срок заключается опционное соглашение, согласно которому некое третье лицо обязывается приобрести покупаемое для проекта специальное технологическое оборудование по цене 50 000 руб. (здесь это цена исполнения опциона, она же - выручка от исполнения реального опциона).</w:t>
      </w:r>
    </w:p>
    <w:p>
      <w:pPr>
        <w:jc w:val="both"/>
        <w:ind w:left="260" w:firstLine="709"/>
        <w:spacing w:after="0" w:line="239"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обмен на обязательство по первому требованию приобрести указанное оборудование названное третье лицо получает возможность платить за поставляемую ему продукцию фирмы - инициатора проекта на 2 000 руб. в месяц меньше, чем причиталось бы за ее соответствующие объемы при расчете по рыночным ценам.</w:t>
      </w:r>
    </w:p>
    <w:p>
      <w:pPr>
        <w:spacing w:after="0" w:line="6" w:lineRule="exact"/>
        <w:rPr>
          <w:rFonts w:ascii="Times New Roman" w:cs="Times New Roman" w:eastAsia="Times New Roman" w:hAnsi="Times New Roman"/>
          <w:sz w:val="28"/>
          <w:szCs w:val="28"/>
          <w:color w:val="auto"/>
        </w:rPr>
      </w:pPr>
    </w:p>
    <w:p>
      <w:pPr>
        <w:ind w:left="260" w:firstLine="709"/>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первые три месяца по проекту планируются следующие денежные потоки: -70 000 руб.; -30 000 руб.; -10 000 руб.</w:t>
      </w:r>
    </w:p>
    <w:p>
      <w:pPr>
        <w:ind w:left="98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Рекомендуемая месячная безрисковая ставка - 1%.</w:t>
      </w:r>
    </w:p>
    <w:p>
      <w:pPr>
        <w:jc w:val="both"/>
        <w:ind w:left="260" w:firstLine="709"/>
        <w:spacing w:after="0" w:line="255"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Следует ли приобретать описанный реальный опцион, и если да, то насколько он может повысить средний ожидаемый чистый дисконтированный доход инвестиционного проекта.</w:t>
      </w:r>
    </w:p>
    <w:p>
      <w:pPr>
        <w:spacing w:after="0" w:line="262" w:lineRule="exact"/>
        <w:rPr>
          <w:rFonts w:ascii="Times New Roman" w:cs="Times New Roman" w:eastAsia="Times New Roman" w:hAnsi="Times New Roman"/>
          <w:sz w:val="28"/>
          <w:szCs w:val="28"/>
          <w:color w:val="auto"/>
        </w:rPr>
      </w:pPr>
    </w:p>
    <w:p>
      <w:pPr>
        <w:jc w:val="both"/>
        <w:ind w:left="260" w:firstLine="711"/>
        <w:spacing w:after="0" w:line="242" w:lineRule="auto"/>
        <w:tabs>
          <w:tab w:leader="none" w:pos="1413" w:val="left"/>
        </w:tabs>
        <w:numPr>
          <w:ilvl w:val="1"/>
          <w:numId w:val="12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Определить «внутреннюю» (обоснованную) цену опциона на покупку акций в расчете на оптимальные число хеджируемых им акций (коэффициент хеджирования) и объем заимствования для финансирования портфеля акций и опциона, а также оптимальную долю заемного финансирования указанного портфеля, если известно, что:</w:t>
      </w:r>
    </w:p>
    <w:p>
      <w:pPr>
        <w:spacing w:after="0" w:line="6" w:lineRule="exact"/>
        <w:rPr>
          <w:rFonts w:ascii="Times New Roman" w:cs="Times New Roman" w:eastAsia="Times New Roman" w:hAnsi="Times New Roman"/>
          <w:sz w:val="28"/>
          <w:szCs w:val="28"/>
          <w:color w:val="auto"/>
        </w:rPr>
      </w:pPr>
    </w:p>
    <w:p>
      <w:pPr>
        <w:ind w:left="1300" w:hanging="366"/>
        <w:spacing w:after="0" w:line="239" w:lineRule="auto"/>
        <w:tabs>
          <w:tab w:leader="none" w:pos="1300" w:val="left"/>
        </w:tabs>
        <w:numPr>
          <w:ilvl w:val="0"/>
          <w:numId w:val="120"/>
        </w:numPr>
        <w:rPr>
          <w:rFonts w:ascii="Symbol" w:cs="Symbol" w:eastAsia="Symbol" w:hAnsi="Symbol"/>
          <w:sz w:val="28"/>
          <w:szCs w:val="28"/>
          <w:color w:val="auto"/>
        </w:rPr>
      </w:pPr>
      <w:r>
        <w:rPr>
          <w:rFonts w:ascii="Times New Roman" w:cs="Times New Roman" w:eastAsia="Times New Roman" w:hAnsi="Times New Roman"/>
          <w:sz w:val="28"/>
          <w:szCs w:val="28"/>
          <w:color w:val="auto"/>
        </w:rPr>
        <w:t>опцион относится к «европейскому» типу опционов;</w:t>
      </w:r>
    </w:p>
    <w:p>
      <w:pPr>
        <w:ind w:left="1300" w:hanging="366"/>
        <w:spacing w:after="0" w:line="239" w:lineRule="auto"/>
        <w:tabs>
          <w:tab w:leader="none" w:pos="1300" w:val="left"/>
        </w:tabs>
        <w:numPr>
          <w:ilvl w:val="0"/>
          <w:numId w:val="120"/>
        </w:numPr>
        <w:rPr>
          <w:rFonts w:ascii="Symbol" w:cs="Symbol" w:eastAsia="Symbol" w:hAnsi="Symbol"/>
          <w:sz w:val="28"/>
          <w:szCs w:val="28"/>
          <w:color w:val="auto"/>
        </w:rPr>
      </w:pPr>
      <w:r>
        <w:rPr>
          <w:rFonts w:ascii="Times New Roman" w:cs="Times New Roman" w:eastAsia="Times New Roman" w:hAnsi="Times New Roman"/>
          <w:sz w:val="28"/>
          <w:szCs w:val="28"/>
          <w:color w:val="auto"/>
        </w:rPr>
        <w:t>срок опциона - 3 месяца;</w:t>
      </w:r>
    </w:p>
    <w:p>
      <w:pPr>
        <w:ind w:left="1300" w:hanging="366"/>
        <w:spacing w:after="0" w:line="239" w:lineRule="auto"/>
        <w:tabs>
          <w:tab w:leader="none" w:pos="1300" w:val="left"/>
        </w:tabs>
        <w:numPr>
          <w:ilvl w:val="0"/>
          <w:numId w:val="120"/>
        </w:numPr>
        <w:rPr>
          <w:rFonts w:ascii="Symbol" w:cs="Symbol" w:eastAsia="Symbol" w:hAnsi="Symbol"/>
          <w:sz w:val="28"/>
          <w:szCs w:val="28"/>
          <w:color w:val="auto"/>
        </w:rPr>
      </w:pPr>
      <w:r>
        <w:rPr>
          <w:rFonts w:ascii="Times New Roman" w:cs="Times New Roman" w:eastAsia="Times New Roman" w:hAnsi="Times New Roman"/>
          <w:sz w:val="28"/>
          <w:szCs w:val="28"/>
          <w:color w:val="auto"/>
        </w:rPr>
        <w:t>рыночная цена хеджируемых акций на текущий момент - 12 руб. за акцию;</w:t>
      </w:r>
    </w:p>
    <w:p>
      <w:pPr>
        <w:spacing w:after="0" w:line="2" w:lineRule="exact"/>
        <w:rPr>
          <w:rFonts w:ascii="Symbol" w:cs="Symbol" w:eastAsia="Symbol" w:hAnsi="Symbol"/>
          <w:sz w:val="28"/>
          <w:szCs w:val="28"/>
          <w:color w:val="auto"/>
        </w:rPr>
      </w:pPr>
    </w:p>
    <w:p>
      <w:pPr>
        <w:ind w:left="1300" w:hanging="366"/>
        <w:spacing w:after="0" w:line="239" w:lineRule="auto"/>
        <w:tabs>
          <w:tab w:leader="none" w:pos="1300" w:val="left"/>
        </w:tabs>
        <w:numPr>
          <w:ilvl w:val="0"/>
          <w:numId w:val="120"/>
        </w:numPr>
        <w:rPr>
          <w:rFonts w:ascii="Symbol" w:cs="Symbol" w:eastAsia="Symbol" w:hAnsi="Symbol"/>
          <w:sz w:val="28"/>
          <w:szCs w:val="28"/>
          <w:color w:val="auto"/>
        </w:rPr>
      </w:pPr>
      <w:r>
        <w:rPr>
          <w:rFonts w:ascii="Times New Roman" w:cs="Times New Roman" w:eastAsia="Times New Roman" w:hAnsi="Times New Roman"/>
          <w:sz w:val="28"/>
          <w:szCs w:val="28"/>
          <w:color w:val="auto"/>
        </w:rPr>
        <w:t>цена акции с равной вероятностью может спустя два месяца подняться или опуститься на 11%;</w:t>
      </w:r>
    </w:p>
    <w:p>
      <w:pPr>
        <w:spacing w:after="0" w:line="1" w:lineRule="exact"/>
        <w:rPr>
          <w:rFonts w:ascii="Symbol" w:cs="Symbol" w:eastAsia="Symbol" w:hAnsi="Symbol"/>
          <w:sz w:val="28"/>
          <w:szCs w:val="28"/>
          <w:color w:val="auto"/>
        </w:rPr>
      </w:pPr>
    </w:p>
    <w:p>
      <w:pPr>
        <w:ind w:left="1300" w:hanging="366"/>
        <w:spacing w:after="0" w:line="239" w:lineRule="auto"/>
        <w:tabs>
          <w:tab w:leader="none" w:pos="1300" w:val="left"/>
        </w:tabs>
        <w:numPr>
          <w:ilvl w:val="0"/>
          <w:numId w:val="120"/>
        </w:numPr>
        <w:rPr>
          <w:rFonts w:ascii="Symbol" w:cs="Symbol" w:eastAsia="Symbol" w:hAnsi="Symbol"/>
          <w:sz w:val="28"/>
          <w:szCs w:val="28"/>
          <w:color w:val="auto"/>
        </w:rPr>
      </w:pPr>
      <w:r>
        <w:rPr>
          <w:rFonts w:ascii="Times New Roman" w:cs="Times New Roman" w:eastAsia="Times New Roman" w:hAnsi="Times New Roman"/>
          <w:sz w:val="28"/>
          <w:szCs w:val="28"/>
          <w:color w:val="auto"/>
        </w:rPr>
        <w:t>цена исполнения опциона - 10,5 руб.;</w:t>
      </w:r>
    </w:p>
    <w:p>
      <w:pPr>
        <w:ind w:left="1300" w:hanging="366"/>
        <w:spacing w:after="0"/>
        <w:tabs>
          <w:tab w:leader="none" w:pos="1300" w:val="left"/>
        </w:tabs>
        <w:numPr>
          <w:ilvl w:val="0"/>
          <w:numId w:val="120"/>
        </w:numPr>
        <w:rPr>
          <w:rFonts w:ascii="Symbol" w:cs="Symbol" w:eastAsia="Symbol" w:hAnsi="Symbol"/>
          <w:sz w:val="28"/>
          <w:szCs w:val="28"/>
          <w:color w:val="auto"/>
        </w:rPr>
      </w:pPr>
      <w:r>
        <w:rPr>
          <w:rFonts w:ascii="Times New Roman" w:cs="Times New Roman" w:eastAsia="Times New Roman" w:hAnsi="Times New Roman"/>
          <w:sz w:val="28"/>
          <w:szCs w:val="28"/>
          <w:color w:val="auto"/>
        </w:rPr>
        <w:t>рыночная процентная ставка (в годовом выражении) - 12%.</w:t>
      </w:r>
    </w:p>
    <w:p>
      <w:pPr>
        <w:sectPr>
          <w:pgSz w:w="11900" w:h="16840" w:orient="portrait"/>
          <w:cols w:equalWidth="0" w:num="1">
            <w:col w:w="9620"/>
          </w:cols>
          <w:pgMar w:left="1440" w:top="1112" w:right="844" w:bottom="163" w:gutter="0" w:footer="0" w:header="0"/>
        </w:sectPr>
      </w:pPr>
    </w:p>
    <w:p>
      <w:pPr>
        <w:spacing w:after="0" w:line="200" w:lineRule="exact"/>
        <w:rPr>
          <w:sz w:val="20"/>
          <w:szCs w:val="20"/>
          <w:color w:val="auto"/>
        </w:rPr>
      </w:pPr>
    </w:p>
    <w:p>
      <w:pPr>
        <w:spacing w:after="0" w:line="215" w:lineRule="exact"/>
        <w:rPr>
          <w:sz w:val="20"/>
          <w:szCs w:val="20"/>
          <w:color w:val="auto"/>
        </w:rPr>
      </w:pPr>
    </w:p>
    <w:p>
      <w:pPr>
        <w:ind w:left="9380"/>
        <w:spacing w:after="0"/>
        <w:rPr>
          <w:sz w:val="20"/>
          <w:szCs w:val="20"/>
          <w:color w:val="auto"/>
        </w:rPr>
      </w:pPr>
      <w:r>
        <w:rPr>
          <w:rFonts w:ascii="Times New Roman" w:cs="Times New Roman" w:eastAsia="Times New Roman" w:hAnsi="Times New Roman"/>
          <w:sz w:val="24"/>
          <w:szCs w:val="24"/>
          <w:color w:val="auto"/>
        </w:rPr>
        <w:t>58</w:t>
      </w:r>
    </w:p>
    <w:p>
      <w:pPr>
        <w:sectPr>
          <w:pgSz w:w="11900" w:h="16840" w:orient="portrait"/>
          <w:cols w:equalWidth="0" w:num="1">
            <w:col w:w="9620"/>
          </w:cols>
          <w:pgMar w:left="1440" w:top="1112" w:right="844" w:bottom="163" w:gutter="0" w:footer="0" w:header="0"/>
          <w:type w:val="continuous"/>
        </w:sectPr>
      </w:pPr>
    </w:p>
    <w:p>
      <w:pPr>
        <w:ind w:left="2600" w:right="1160" w:hanging="1179"/>
        <w:spacing w:after="0" w:line="270" w:lineRule="auto"/>
        <w:tabs>
          <w:tab w:leader="none" w:pos="1778" w:val="left"/>
        </w:tabs>
        <w:numPr>
          <w:ilvl w:val="0"/>
          <w:numId w:val="12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РЕСТРУКТУРИЗАЦИЯ ПРЕДПРИЯТИЯ НА ОСНОВЕ ОЦЕНКИ РЫНОЧНОЙ СТОИМОСТИ</w:t>
      </w:r>
    </w:p>
    <w:p>
      <w:pPr>
        <w:spacing w:after="0" w:line="242" w:lineRule="exact"/>
        <w:rPr>
          <w:sz w:val="20"/>
          <w:szCs w:val="20"/>
          <w:color w:val="auto"/>
        </w:rPr>
      </w:pPr>
    </w:p>
    <w:p>
      <w:pPr>
        <w:jc w:val="center"/>
        <w:ind w:right="-239"/>
        <w:spacing w:after="0"/>
        <w:rPr>
          <w:sz w:val="20"/>
          <w:szCs w:val="20"/>
          <w:color w:val="auto"/>
        </w:rPr>
      </w:pPr>
      <w:r>
        <w:rPr>
          <w:rFonts w:ascii="Times New Roman" w:cs="Times New Roman" w:eastAsia="Times New Roman" w:hAnsi="Times New Roman"/>
          <w:sz w:val="28"/>
          <w:szCs w:val="28"/>
          <w:color w:val="auto"/>
        </w:rPr>
        <w:t>ДЕМОНСТРАЦИОННЫЕ ЗАДАЧИ</w:t>
      </w:r>
    </w:p>
    <w:p>
      <w:pPr>
        <w:spacing w:after="0" w:line="322" w:lineRule="exact"/>
        <w:rPr>
          <w:sz w:val="20"/>
          <w:szCs w:val="20"/>
          <w:color w:val="auto"/>
        </w:rPr>
      </w:pPr>
    </w:p>
    <w:p>
      <w:pPr>
        <w:jc w:val="both"/>
        <w:ind w:left="280" w:right="60" w:firstLine="720"/>
        <w:spacing w:after="0" w:line="243" w:lineRule="auto"/>
        <w:rPr>
          <w:sz w:val="20"/>
          <w:szCs w:val="20"/>
          <w:color w:val="auto"/>
        </w:rPr>
      </w:pPr>
      <w:r>
        <w:rPr>
          <w:rFonts w:ascii="Times New Roman" w:cs="Times New Roman" w:eastAsia="Times New Roman" w:hAnsi="Times New Roman"/>
          <w:sz w:val="28"/>
          <w:szCs w:val="28"/>
          <w:u w:val="single" w:color="auto"/>
          <w:color w:val="auto"/>
        </w:rPr>
        <w:t>Задача</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u w:val="single" w:color="auto"/>
          <w:color w:val="auto"/>
        </w:rPr>
        <w:t>8.1.</w:t>
      </w:r>
      <w:r>
        <w:rPr>
          <w:rFonts w:ascii="Times New Roman" w:cs="Times New Roman" w:eastAsia="Times New Roman" w:hAnsi="Times New Roman"/>
          <w:sz w:val="28"/>
          <w:szCs w:val="28"/>
          <w:color w:val="auto"/>
        </w:rPr>
        <w:t xml:space="preserve"> Рассчитать вероятное повышение рыночной стоимости предприятия, которое может произойти в результате того, что предприятие завершило составление бизнес-плана инновационного проекта, способного уже через год повысить годовые прибыли фирмы (П) до 1 000 000 руб., если также известно, что чистые материальные активы (ЧМА) предприятия согласно оценке их рыночной стоимости составляют 2 500 000 руб.; коэффициент съема прибыли с чистых материальных активов в отрасли равен 0,35; рекомендуемый коэффициент капитализации (i), учитывающий риски осваиваемого в проекте бизнеса, равен 0,25.</w:t>
      </w:r>
    </w:p>
    <w:p>
      <w:pPr>
        <w:spacing w:after="0" w:line="285" w:lineRule="exact"/>
        <w:rPr>
          <w:sz w:val="20"/>
          <w:szCs w:val="20"/>
          <w:color w:val="auto"/>
        </w:rPr>
      </w:pPr>
    </w:p>
    <w:p>
      <w:pPr>
        <w:ind w:left="980"/>
        <w:spacing w:after="0"/>
        <w:rPr>
          <w:sz w:val="20"/>
          <w:szCs w:val="20"/>
          <w:color w:val="auto"/>
        </w:rPr>
      </w:pPr>
      <w:r>
        <w:rPr>
          <w:rFonts w:ascii="Times New Roman" w:cs="Times New Roman" w:eastAsia="Times New Roman" w:hAnsi="Times New Roman"/>
          <w:sz w:val="28"/>
          <w:szCs w:val="28"/>
          <w:u w:val="single" w:color="auto"/>
          <w:color w:val="auto"/>
        </w:rPr>
        <w:t>Решение.</w:t>
      </w:r>
    </w:p>
    <w:p>
      <w:pPr>
        <w:jc w:val="both"/>
        <w:ind w:left="260" w:right="100" w:firstLine="720"/>
        <w:spacing w:after="0" w:line="239" w:lineRule="auto"/>
        <w:rPr>
          <w:sz w:val="20"/>
          <w:szCs w:val="20"/>
          <w:color w:val="auto"/>
        </w:rPr>
      </w:pPr>
      <w:r>
        <w:rPr>
          <w:rFonts w:ascii="Times New Roman" w:cs="Times New Roman" w:eastAsia="Times New Roman" w:hAnsi="Times New Roman"/>
          <w:sz w:val="28"/>
          <w:szCs w:val="28"/>
          <w:color w:val="auto"/>
        </w:rPr>
        <w:t>Искомую величину можно рассчитать методом «избыточных прибылей» как оценку рыночной ценности создаваемого проектом «гудвилла», т.е. стоимости совокупности задействованных и реализуемых в проекте нематериальных активов НМА*.</w:t>
      </w:r>
    </w:p>
    <w:p>
      <w:pPr>
        <w:spacing w:after="0" w:line="5" w:lineRule="exact"/>
        <w:rPr>
          <w:sz w:val="20"/>
          <w:szCs w:val="20"/>
          <w:color w:val="auto"/>
        </w:rPr>
      </w:pPr>
    </w:p>
    <w:p>
      <w:pPr>
        <w:ind w:left="980"/>
        <w:spacing w:after="0"/>
        <w:rPr>
          <w:sz w:val="20"/>
          <w:szCs w:val="20"/>
          <w:color w:val="auto"/>
        </w:rPr>
      </w:pPr>
      <w:r>
        <w:rPr>
          <w:rFonts w:ascii="Times New Roman" w:cs="Times New Roman" w:eastAsia="Times New Roman" w:hAnsi="Times New Roman"/>
          <w:sz w:val="28"/>
          <w:szCs w:val="28"/>
          <w:color w:val="auto"/>
        </w:rPr>
        <w:t>Алгоритм соответствующего расчета выглядит следующим образом:</w:t>
      </w:r>
    </w:p>
    <w:p>
      <w:pPr>
        <w:spacing w:after="0" w:line="190" w:lineRule="exact"/>
        <w:rPr>
          <w:sz w:val="20"/>
          <w:szCs w:val="20"/>
          <w:color w:val="auto"/>
        </w:rPr>
      </w:pPr>
    </w:p>
    <w:p>
      <w:pPr>
        <w:ind w:left="2780"/>
        <w:spacing w:after="0"/>
        <w:rPr>
          <w:sz w:val="20"/>
          <w:szCs w:val="20"/>
          <w:color w:val="auto"/>
        </w:rPr>
      </w:pPr>
      <w:r>
        <w:rPr>
          <w:rFonts w:ascii="Times New Roman" w:cs="Times New Roman" w:eastAsia="Times New Roman" w:hAnsi="Times New Roman"/>
          <w:sz w:val="28"/>
          <w:szCs w:val="28"/>
          <w:color w:val="auto"/>
        </w:rPr>
        <w:t>П</w:t>
      </w:r>
      <w:r>
        <w:rPr>
          <w:rFonts w:ascii="Times New Roman" w:cs="Times New Roman" w:eastAsia="Times New Roman" w:hAnsi="Times New Roman"/>
          <w:sz w:val="36"/>
          <w:szCs w:val="36"/>
          <w:color w:val="auto"/>
          <w:vertAlign w:val="subscript"/>
        </w:rPr>
        <w:t>ож</w:t>
      </w:r>
      <w:r>
        <w:rPr>
          <w:rFonts w:ascii="Times New Roman" w:cs="Times New Roman" w:eastAsia="Times New Roman" w:hAnsi="Times New Roman"/>
          <w:sz w:val="28"/>
          <w:szCs w:val="28"/>
          <w:color w:val="auto"/>
        </w:rPr>
        <w:t xml:space="preserve"> = 2 500 000 · 0,35 = 875 000 руб.</w:t>
      </w:r>
    </w:p>
    <w:p>
      <w:pPr>
        <w:spacing w:after="0" w:line="229" w:lineRule="exact"/>
        <w:rPr>
          <w:sz w:val="20"/>
          <w:szCs w:val="20"/>
          <w:color w:val="auto"/>
        </w:rPr>
      </w:pPr>
    </w:p>
    <w:p>
      <w:pPr>
        <w:ind w:left="2520"/>
        <w:spacing w:after="0"/>
        <w:rPr>
          <w:sz w:val="20"/>
          <w:szCs w:val="20"/>
          <w:color w:val="auto"/>
        </w:rPr>
      </w:pPr>
      <w:r>
        <w:rPr>
          <w:rFonts w:ascii="Times New Roman" w:cs="Times New Roman" w:eastAsia="Times New Roman" w:hAnsi="Times New Roman"/>
          <w:sz w:val="28"/>
          <w:szCs w:val="28"/>
          <w:color w:val="auto"/>
        </w:rPr>
        <w:t>П</w:t>
      </w:r>
      <w:r>
        <w:rPr>
          <w:rFonts w:ascii="Times New Roman" w:cs="Times New Roman" w:eastAsia="Times New Roman" w:hAnsi="Times New Roman"/>
          <w:sz w:val="36"/>
          <w:szCs w:val="36"/>
          <w:color w:val="auto"/>
          <w:vertAlign w:val="subscript"/>
        </w:rPr>
        <w:t>изб</w:t>
      </w:r>
      <w:r>
        <w:rPr>
          <w:rFonts w:ascii="Times New Roman" w:cs="Times New Roman" w:eastAsia="Times New Roman" w:hAnsi="Times New Roman"/>
          <w:sz w:val="28"/>
          <w:szCs w:val="28"/>
          <w:color w:val="auto"/>
        </w:rPr>
        <w:t xml:space="preserve"> = 1 000 000 – 875 000 = 125 000 руб.</w:t>
      </w:r>
    </w:p>
    <w:p>
      <w:pPr>
        <w:spacing w:after="0" w:line="332" w:lineRule="exact"/>
        <w:rPr>
          <w:sz w:val="20"/>
          <w:szCs w:val="20"/>
          <w:color w:val="auto"/>
        </w:rPr>
      </w:pPr>
    </w:p>
    <w:p>
      <w:pPr>
        <w:jc w:val="center"/>
        <w:ind w:right="-259"/>
        <w:spacing w:after="0"/>
        <w:rPr>
          <w:sz w:val="20"/>
          <w:szCs w:val="20"/>
          <w:color w:val="auto"/>
        </w:rPr>
      </w:pPr>
      <w:r>
        <w:rPr>
          <w:rFonts w:ascii="Times New Roman" w:cs="Times New Roman" w:eastAsia="Times New Roman" w:hAnsi="Times New Roman"/>
          <w:sz w:val="28"/>
          <w:szCs w:val="28"/>
          <w:color w:val="auto"/>
        </w:rPr>
        <w:t>НМА</w:t>
      </w:r>
      <w:r>
        <w:rPr>
          <w:rFonts w:ascii="Times New Roman" w:cs="Times New Roman" w:eastAsia="Times New Roman" w:hAnsi="Times New Roman"/>
          <w:sz w:val="36"/>
          <w:szCs w:val="36"/>
          <w:color w:val="auto"/>
          <w:vertAlign w:val="superscript"/>
        </w:rPr>
        <w:t>*</w:t>
      </w:r>
      <w:r>
        <w:rPr>
          <w:rFonts w:ascii="Times New Roman" w:cs="Times New Roman" w:eastAsia="Times New Roman" w:hAnsi="Times New Roman"/>
          <w:sz w:val="28"/>
          <w:szCs w:val="28"/>
          <w:color w:val="auto"/>
        </w:rPr>
        <w:t xml:space="preserve"> = 125 000/0,25 = 500 000 руб.</w:t>
      </w:r>
    </w:p>
    <w:p>
      <w:pPr>
        <w:spacing w:after="0" w:line="261" w:lineRule="exact"/>
        <w:rPr>
          <w:sz w:val="20"/>
          <w:szCs w:val="20"/>
          <w:color w:val="auto"/>
        </w:rPr>
      </w:pPr>
    </w:p>
    <w:p>
      <w:pPr>
        <w:jc w:val="both"/>
        <w:ind w:left="260" w:right="60" w:firstLine="720"/>
        <w:spacing w:after="0" w:line="246" w:lineRule="auto"/>
        <w:rPr>
          <w:sz w:val="20"/>
          <w:szCs w:val="20"/>
          <w:color w:val="auto"/>
        </w:rPr>
      </w:pPr>
      <w:r>
        <w:rPr>
          <w:rFonts w:ascii="Times New Roman" w:cs="Times New Roman" w:eastAsia="Times New Roman" w:hAnsi="Times New Roman"/>
          <w:sz w:val="28"/>
          <w:szCs w:val="28"/>
          <w:u w:val="single" w:color="auto"/>
          <w:color w:val="auto"/>
        </w:rPr>
        <w:t>Задача</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u w:val="single" w:color="auto"/>
          <w:color w:val="auto"/>
        </w:rPr>
        <w:t>8.2.</w:t>
      </w:r>
      <w:r>
        <w:rPr>
          <w:rFonts w:ascii="Times New Roman" w:cs="Times New Roman" w:eastAsia="Times New Roman" w:hAnsi="Times New Roman"/>
          <w:sz w:val="28"/>
          <w:szCs w:val="28"/>
          <w:color w:val="auto"/>
        </w:rPr>
        <w:t xml:space="preserve"> Оценить, какой будет рыночная стоимость компании через 2 года, если она реализует инвестиционный проект , позволяющий рассчитывать на то, что чистая прибыль предприятия к этому времени повысится до 400 000 руб. В отрасли, к которой принадлежит компания, наблюдается стабилизировавшийся коэффициент «Цена/Прибыль» (Ц/П), равный 5,5.</w:t>
      </w:r>
    </w:p>
    <w:p>
      <w:pPr>
        <w:spacing w:after="0" w:line="273" w:lineRule="exact"/>
        <w:rPr>
          <w:sz w:val="20"/>
          <w:szCs w:val="20"/>
          <w:color w:val="auto"/>
        </w:rPr>
      </w:pPr>
    </w:p>
    <w:p>
      <w:pPr>
        <w:ind w:left="980"/>
        <w:spacing w:after="0"/>
        <w:rPr>
          <w:sz w:val="20"/>
          <w:szCs w:val="20"/>
          <w:color w:val="auto"/>
        </w:rPr>
      </w:pPr>
      <w:r>
        <w:rPr>
          <w:rFonts w:ascii="Times New Roman" w:cs="Times New Roman" w:eastAsia="Times New Roman" w:hAnsi="Times New Roman"/>
          <w:sz w:val="28"/>
          <w:szCs w:val="28"/>
          <w:u w:val="single" w:color="auto"/>
          <w:color w:val="auto"/>
        </w:rPr>
        <w:t>Решение.</w:t>
      </w:r>
    </w:p>
    <w:p>
      <w:pPr>
        <w:jc w:val="both"/>
        <w:ind w:left="260" w:right="40" w:firstLine="720"/>
        <w:spacing w:after="0" w:line="228" w:lineRule="auto"/>
        <w:rPr>
          <w:sz w:val="20"/>
          <w:szCs w:val="20"/>
          <w:color w:val="auto"/>
        </w:rPr>
      </w:pPr>
      <w:r>
        <w:rPr>
          <w:rFonts w:ascii="Times New Roman" w:cs="Times New Roman" w:eastAsia="Times New Roman" w:hAnsi="Times New Roman"/>
          <w:sz w:val="28"/>
          <w:szCs w:val="28"/>
          <w:color w:val="auto"/>
        </w:rPr>
        <w:t>Ожидаемая по результатам осуществления указанного инвестиционного проекта будущая рыночная стоимость компании через два года (Ц</w:t>
      </w:r>
      <w:r>
        <w:rPr>
          <w:rFonts w:ascii="Times New Roman" w:cs="Times New Roman" w:eastAsia="Times New Roman" w:hAnsi="Times New Roman"/>
          <w:sz w:val="36"/>
          <w:szCs w:val="36"/>
          <w:color w:val="auto"/>
          <w:vertAlign w:val="subscript"/>
        </w:rPr>
        <w:t>2</w:t>
      </w:r>
      <w:r>
        <w:rPr>
          <w:rFonts w:ascii="Times New Roman" w:cs="Times New Roman" w:eastAsia="Times New Roman" w:hAnsi="Times New Roman"/>
          <w:sz w:val="28"/>
          <w:szCs w:val="28"/>
          <w:color w:val="auto"/>
        </w:rPr>
        <w:t>) может быть определена как</w:t>
      </w:r>
    </w:p>
    <w:p>
      <w:pPr>
        <w:spacing w:after="0" w:line="150" w:lineRule="exact"/>
        <w:rPr>
          <w:sz w:val="20"/>
          <w:szCs w:val="20"/>
          <w:color w:val="auto"/>
        </w:rPr>
      </w:pPr>
    </w:p>
    <w:p>
      <w:pPr>
        <w:ind w:left="1880"/>
        <w:spacing w:after="0"/>
        <w:rPr>
          <w:sz w:val="20"/>
          <w:szCs w:val="20"/>
          <w:color w:val="auto"/>
        </w:rPr>
      </w:pPr>
      <w:r>
        <w:rPr>
          <w:rFonts w:ascii="Times New Roman" w:cs="Times New Roman" w:eastAsia="Times New Roman" w:hAnsi="Times New Roman"/>
          <w:sz w:val="28"/>
          <w:szCs w:val="28"/>
          <w:color w:val="auto"/>
        </w:rPr>
        <w:t>Ц</w:t>
      </w:r>
      <w:r>
        <w:rPr>
          <w:rFonts w:ascii="Times New Roman" w:cs="Times New Roman" w:eastAsia="Times New Roman" w:hAnsi="Times New Roman"/>
          <w:sz w:val="36"/>
          <w:szCs w:val="36"/>
          <w:color w:val="auto"/>
          <w:vertAlign w:val="subscript"/>
        </w:rPr>
        <w:t>2</w:t>
      </w:r>
      <w:r>
        <w:rPr>
          <w:rFonts w:ascii="Times New Roman" w:cs="Times New Roman" w:eastAsia="Times New Roman" w:hAnsi="Times New Roman"/>
          <w:sz w:val="28"/>
          <w:szCs w:val="28"/>
          <w:color w:val="auto"/>
        </w:rPr>
        <w:t xml:space="preserve"> = 400 000 · (Ц/П) = 400000 · 5,5 = 22 000 000 руб.</w:t>
      </w:r>
    </w:p>
    <w:p>
      <w:pPr>
        <w:spacing w:after="0" w:line="363" w:lineRule="exact"/>
        <w:rPr>
          <w:sz w:val="20"/>
          <w:szCs w:val="20"/>
          <w:color w:val="auto"/>
        </w:rPr>
      </w:pPr>
    </w:p>
    <w:p>
      <w:pPr>
        <w:jc w:val="both"/>
        <w:ind w:left="280" w:right="40" w:firstLine="720"/>
        <w:spacing w:after="0" w:line="233" w:lineRule="auto"/>
        <w:rPr>
          <w:sz w:val="20"/>
          <w:szCs w:val="20"/>
          <w:color w:val="auto"/>
        </w:rPr>
      </w:pPr>
      <w:r>
        <w:rPr>
          <w:rFonts w:ascii="Times New Roman" w:cs="Times New Roman" w:eastAsia="Times New Roman" w:hAnsi="Times New Roman"/>
          <w:sz w:val="27"/>
          <w:szCs w:val="27"/>
          <w:u w:val="single" w:color="auto"/>
          <w:color w:val="auto"/>
        </w:rPr>
        <w:t>Задача</w:t>
      </w:r>
      <w:r>
        <w:rPr>
          <w:rFonts w:ascii="Times New Roman" w:cs="Times New Roman" w:eastAsia="Times New Roman" w:hAnsi="Times New Roman"/>
          <w:sz w:val="27"/>
          <w:szCs w:val="27"/>
          <w:color w:val="auto"/>
        </w:rPr>
        <w:t xml:space="preserve"> </w:t>
      </w:r>
      <w:r>
        <w:rPr>
          <w:rFonts w:ascii="Times New Roman" w:cs="Times New Roman" w:eastAsia="Times New Roman" w:hAnsi="Times New Roman"/>
          <w:sz w:val="27"/>
          <w:szCs w:val="27"/>
          <w:u w:val="single" w:color="auto"/>
          <w:color w:val="auto"/>
        </w:rPr>
        <w:t>8.3.</w:t>
      </w:r>
      <w:r>
        <w:rPr>
          <w:rFonts w:ascii="Times New Roman" w:cs="Times New Roman" w:eastAsia="Times New Roman" w:hAnsi="Times New Roman"/>
          <w:sz w:val="27"/>
          <w:szCs w:val="27"/>
          <w:color w:val="auto"/>
        </w:rPr>
        <w:t xml:space="preserve"> Показать, что для инвестора, привлекаемого в качестве соучредителя на 45% (d</w:t>
      </w:r>
      <w:r>
        <w:rPr>
          <w:rFonts w:ascii="Times New Roman" w:cs="Times New Roman" w:eastAsia="Times New Roman" w:hAnsi="Times New Roman"/>
          <w:sz w:val="35"/>
          <w:szCs w:val="35"/>
          <w:color w:val="auto"/>
          <w:vertAlign w:val="subscript"/>
        </w:rPr>
        <w:t>naк</w:t>
      </w:r>
      <w:r>
        <w:rPr>
          <w:rFonts w:ascii="Times New Roman" w:cs="Times New Roman" w:eastAsia="Times New Roman" w:hAnsi="Times New Roman"/>
          <w:sz w:val="27"/>
          <w:szCs w:val="27"/>
          <w:color w:val="auto"/>
        </w:rPr>
        <w:t>) уставного капитала в дочернюю компанию, которая</w:t>
      </w:r>
    </w:p>
    <w:p>
      <w:pPr>
        <w:sectPr>
          <w:pgSz w:w="11900" w:h="16840" w:orient="portrait"/>
          <w:cols w:equalWidth="0" w:num="1">
            <w:col w:w="9620"/>
          </w:cols>
          <w:pgMar w:left="1440" w:top="1112" w:right="844" w:bottom="163" w:gutter="0" w:footer="0" w:header="0"/>
        </w:sectPr>
      </w:pPr>
    </w:p>
    <w:p>
      <w:pPr>
        <w:spacing w:after="0" w:line="200" w:lineRule="exact"/>
        <w:rPr>
          <w:sz w:val="20"/>
          <w:szCs w:val="20"/>
          <w:color w:val="auto"/>
        </w:rPr>
      </w:pPr>
    </w:p>
    <w:p>
      <w:pPr>
        <w:spacing w:after="0" w:line="309" w:lineRule="exact"/>
        <w:rPr>
          <w:sz w:val="20"/>
          <w:szCs w:val="20"/>
          <w:color w:val="auto"/>
        </w:rPr>
      </w:pPr>
    </w:p>
    <w:p>
      <w:pPr>
        <w:ind w:left="9380"/>
        <w:spacing w:after="0"/>
        <w:rPr>
          <w:sz w:val="20"/>
          <w:szCs w:val="20"/>
          <w:color w:val="auto"/>
        </w:rPr>
      </w:pPr>
      <w:r>
        <w:rPr>
          <w:rFonts w:ascii="Times New Roman" w:cs="Times New Roman" w:eastAsia="Times New Roman" w:hAnsi="Times New Roman"/>
          <w:sz w:val="24"/>
          <w:szCs w:val="24"/>
          <w:color w:val="auto"/>
        </w:rPr>
        <w:t>59</w:t>
      </w:r>
    </w:p>
    <w:p>
      <w:pPr>
        <w:sectPr>
          <w:pgSz w:w="11900" w:h="16840" w:orient="portrait"/>
          <w:cols w:equalWidth="0" w:num="1">
            <w:col w:w="9620"/>
          </w:cols>
          <w:pgMar w:left="1440" w:top="1112" w:right="844" w:bottom="163" w:gutter="0" w:footer="0" w:header="0"/>
          <w:type w:val="continuous"/>
        </w:sectPr>
      </w:pPr>
    </w:p>
    <w:p>
      <w:pPr>
        <w:ind w:left="280" w:right="40"/>
        <w:spacing w:after="0" w:line="247" w:lineRule="auto"/>
        <w:rPr>
          <w:sz w:val="20"/>
          <w:szCs w:val="20"/>
          <w:color w:val="auto"/>
        </w:rPr>
      </w:pPr>
      <w:r>
        <w:rPr>
          <w:rFonts w:ascii="Times New Roman" w:cs="Times New Roman" w:eastAsia="Times New Roman" w:hAnsi="Times New Roman"/>
          <w:sz w:val="28"/>
          <w:szCs w:val="28"/>
          <w:color w:val="auto"/>
        </w:rPr>
        <w:t>учреждается для реализации инновационного проекта, его капиталовложение является эффективным, если известно, что:</w:t>
      </w:r>
    </w:p>
    <w:p>
      <w:pPr>
        <w:spacing w:after="0" w:line="1" w:lineRule="exact"/>
        <w:rPr>
          <w:sz w:val="20"/>
          <w:szCs w:val="20"/>
          <w:color w:val="auto"/>
        </w:rPr>
      </w:pPr>
    </w:p>
    <w:p>
      <w:pPr>
        <w:ind w:left="1320" w:hanging="350"/>
        <w:spacing w:after="0"/>
        <w:tabs>
          <w:tab w:leader="none" w:pos="1320" w:val="left"/>
        </w:tabs>
        <w:numPr>
          <w:ilvl w:val="0"/>
          <w:numId w:val="122"/>
        </w:numPr>
        <w:rPr>
          <w:rFonts w:ascii="Symbol" w:cs="Symbol" w:eastAsia="Symbol" w:hAnsi="Symbol"/>
          <w:sz w:val="28"/>
          <w:szCs w:val="28"/>
          <w:color w:val="auto"/>
        </w:rPr>
      </w:pPr>
      <w:r>
        <w:rPr>
          <w:rFonts w:ascii="Times New Roman" w:cs="Times New Roman" w:eastAsia="Times New Roman" w:hAnsi="Times New Roman"/>
          <w:sz w:val="28"/>
          <w:szCs w:val="28"/>
          <w:color w:val="auto"/>
        </w:rPr>
        <w:t>данный инвестор обычно вкладывает средства на три года;</w:t>
      </w:r>
    </w:p>
    <w:p>
      <w:pPr>
        <w:jc w:val="both"/>
        <w:ind w:left="1320" w:hanging="350"/>
        <w:spacing w:after="0" w:line="232" w:lineRule="auto"/>
        <w:tabs>
          <w:tab w:leader="none" w:pos="1320" w:val="left"/>
        </w:tabs>
        <w:numPr>
          <w:ilvl w:val="0"/>
          <w:numId w:val="122"/>
        </w:numPr>
        <w:rPr>
          <w:rFonts w:ascii="Symbol" w:cs="Symbol" w:eastAsia="Symbol" w:hAnsi="Symbol"/>
          <w:sz w:val="28"/>
          <w:szCs w:val="28"/>
          <w:color w:val="auto"/>
        </w:rPr>
      </w:pPr>
      <w:r>
        <w:rPr>
          <w:rFonts w:ascii="Times New Roman" w:cs="Times New Roman" w:eastAsia="Times New Roman" w:hAnsi="Times New Roman"/>
          <w:sz w:val="28"/>
          <w:szCs w:val="28"/>
          <w:color w:val="auto"/>
        </w:rPr>
        <w:t>денежные потоки по инновационному проекту предприятия ожидаются на уровне: стартовые инвестиции - 3 000 000 руб.; 1-й</w:t>
      </w:r>
    </w:p>
    <w:p>
      <w:pPr>
        <w:ind w:left="1320"/>
        <w:spacing w:after="0" w:line="247" w:lineRule="auto"/>
        <w:rPr>
          <w:rFonts w:ascii="Symbol" w:cs="Symbol" w:eastAsia="Symbol" w:hAnsi="Symbol"/>
          <w:sz w:val="28"/>
          <w:szCs w:val="28"/>
          <w:color w:val="auto"/>
        </w:rPr>
      </w:pPr>
      <w:r>
        <w:rPr>
          <w:rFonts w:ascii="Times New Roman" w:cs="Times New Roman" w:eastAsia="Times New Roman" w:hAnsi="Times New Roman"/>
          <w:sz w:val="28"/>
          <w:szCs w:val="28"/>
          <w:color w:val="auto"/>
        </w:rPr>
        <w:t>год - 50 000 руб.; 2-й год - 200 000 руб.; 3-й год - 2 000 000 руб.; 4-й год - 4 000 000 руб.; 5-й год - 3 500 000 руб.;</w:t>
      </w:r>
    </w:p>
    <w:p>
      <w:pPr>
        <w:spacing w:after="0" w:line="2" w:lineRule="exact"/>
        <w:rPr>
          <w:rFonts w:ascii="Symbol" w:cs="Symbol" w:eastAsia="Symbol" w:hAnsi="Symbol"/>
          <w:sz w:val="28"/>
          <w:szCs w:val="28"/>
          <w:color w:val="auto"/>
        </w:rPr>
      </w:pPr>
    </w:p>
    <w:p>
      <w:pPr>
        <w:ind w:left="1320" w:hanging="350"/>
        <w:spacing w:after="0" w:line="232" w:lineRule="auto"/>
        <w:tabs>
          <w:tab w:leader="none" w:pos="1320" w:val="left"/>
        </w:tabs>
        <w:numPr>
          <w:ilvl w:val="0"/>
          <w:numId w:val="122"/>
        </w:numPr>
        <w:rPr>
          <w:rFonts w:ascii="Symbol" w:cs="Symbol" w:eastAsia="Symbol" w:hAnsi="Symbol"/>
          <w:sz w:val="28"/>
          <w:szCs w:val="28"/>
          <w:color w:val="auto"/>
        </w:rPr>
      </w:pPr>
      <w:r>
        <w:rPr>
          <w:rFonts w:ascii="Times New Roman" w:cs="Times New Roman" w:eastAsia="Times New Roman" w:hAnsi="Times New Roman"/>
          <w:sz w:val="28"/>
          <w:szCs w:val="28"/>
          <w:color w:val="auto"/>
        </w:rPr>
        <w:t>приемлемая с учетом премии за риски осваиваемого бизнеса ставка дисконта составляет 0,3.</w:t>
      </w:r>
    </w:p>
    <w:p>
      <w:pPr>
        <w:jc w:val="both"/>
        <w:ind w:left="300" w:right="20" w:firstLine="720"/>
        <w:spacing w:after="0" w:line="255" w:lineRule="auto"/>
        <w:rPr>
          <w:sz w:val="20"/>
          <w:szCs w:val="20"/>
          <w:color w:val="auto"/>
        </w:rPr>
      </w:pPr>
      <w:r>
        <w:rPr>
          <w:rFonts w:ascii="Times New Roman" w:cs="Times New Roman" w:eastAsia="Times New Roman" w:hAnsi="Times New Roman"/>
          <w:sz w:val="28"/>
          <w:szCs w:val="28"/>
          <w:color w:val="auto"/>
        </w:rPr>
        <w:t>Инвестор не рассчитывает на дивиденды от учреждаемой компании. Он планирует получить свой единственный доход на перепродаже приобретаемого пакета акций.</w:t>
      </w:r>
    </w:p>
    <w:p>
      <w:pPr>
        <w:spacing w:after="0" w:line="261" w:lineRule="exact"/>
        <w:rPr>
          <w:sz w:val="20"/>
          <w:szCs w:val="20"/>
          <w:color w:val="auto"/>
        </w:rPr>
      </w:pPr>
    </w:p>
    <w:p>
      <w:pPr>
        <w:ind w:left="1020"/>
        <w:spacing w:after="0"/>
        <w:rPr>
          <w:sz w:val="20"/>
          <w:szCs w:val="20"/>
          <w:color w:val="auto"/>
        </w:rPr>
      </w:pPr>
      <w:r>
        <w:rPr>
          <w:rFonts w:ascii="Times New Roman" w:cs="Times New Roman" w:eastAsia="Times New Roman" w:hAnsi="Times New Roman"/>
          <w:sz w:val="28"/>
          <w:szCs w:val="28"/>
          <w:u w:val="single" w:color="auto"/>
          <w:color w:val="auto"/>
        </w:rPr>
        <w:t>Решение.</w:t>
      </w:r>
    </w:p>
    <w:p>
      <w:pPr>
        <w:spacing w:after="0" w:line="1" w:lineRule="exact"/>
        <w:rPr>
          <w:sz w:val="20"/>
          <w:szCs w:val="20"/>
          <w:color w:val="auto"/>
        </w:rPr>
      </w:pPr>
    </w:p>
    <w:p>
      <w:pPr>
        <w:jc w:val="both"/>
        <w:ind w:left="300" w:right="20" w:firstLine="720"/>
        <w:spacing w:after="0" w:line="219" w:lineRule="auto"/>
        <w:rPr>
          <w:sz w:val="20"/>
          <w:szCs w:val="20"/>
          <w:color w:val="auto"/>
        </w:rPr>
      </w:pPr>
      <w:r>
        <w:rPr>
          <w:rFonts w:ascii="Times New Roman" w:cs="Times New Roman" w:eastAsia="Times New Roman" w:hAnsi="Times New Roman"/>
          <w:sz w:val="28"/>
          <w:szCs w:val="28"/>
          <w:color w:val="auto"/>
        </w:rPr>
        <w:t>Главным показателем эффективности капиталовложения для инвестора служит чистая текущая стоимость его инвестиции (NPV</w:t>
      </w:r>
      <w:r>
        <w:rPr>
          <w:rFonts w:ascii="Times New Roman" w:cs="Times New Roman" w:eastAsia="Times New Roman" w:hAnsi="Times New Roman"/>
          <w:sz w:val="36"/>
          <w:szCs w:val="36"/>
          <w:color w:val="auto"/>
          <w:vertAlign w:val="subscript"/>
        </w:rPr>
        <w:t>инв</w:t>
      </w:r>
      <w:r>
        <w:rPr>
          <w:rFonts w:ascii="Times New Roman" w:cs="Times New Roman" w:eastAsia="Times New Roman" w:hAnsi="Times New Roman"/>
          <w:sz w:val="28"/>
          <w:szCs w:val="28"/>
          <w:color w:val="auto"/>
        </w:rPr>
        <w:t>) в создаваемое предприятие.</w:t>
      </w:r>
    </w:p>
    <w:p>
      <w:pPr>
        <w:spacing w:after="0" w:line="1" w:lineRule="exact"/>
        <w:rPr>
          <w:sz w:val="20"/>
          <w:szCs w:val="20"/>
          <w:color w:val="auto"/>
        </w:rPr>
      </w:pPr>
    </w:p>
    <w:p>
      <w:pPr>
        <w:jc w:val="both"/>
        <w:ind w:left="260" w:firstLine="720"/>
        <w:spacing w:after="0" w:line="220" w:lineRule="auto"/>
        <w:rPr>
          <w:sz w:val="20"/>
          <w:szCs w:val="20"/>
          <w:color w:val="auto"/>
        </w:rPr>
      </w:pPr>
      <w:r>
        <w:rPr>
          <w:rFonts w:ascii="Times New Roman" w:cs="Times New Roman" w:eastAsia="Times New Roman" w:hAnsi="Times New Roman"/>
          <w:sz w:val="28"/>
          <w:szCs w:val="28"/>
          <w:color w:val="auto"/>
        </w:rPr>
        <w:t>Для расчета этого показателя необходимо оценить, какова обоснованная рыночная стоимость Ц</w:t>
      </w:r>
      <w:r>
        <w:rPr>
          <w:rFonts w:ascii="Times New Roman" w:cs="Times New Roman" w:eastAsia="Times New Roman" w:hAnsi="Times New Roman"/>
          <w:sz w:val="36"/>
          <w:szCs w:val="36"/>
          <w:color w:val="auto"/>
          <w:vertAlign w:val="subscript"/>
        </w:rPr>
        <w:t>пак0</w:t>
      </w:r>
      <w:r>
        <w:rPr>
          <w:rFonts w:ascii="Times New Roman" w:cs="Times New Roman" w:eastAsia="Times New Roman" w:hAnsi="Times New Roman"/>
          <w:sz w:val="28"/>
          <w:szCs w:val="28"/>
          <w:color w:val="auto"/>
        </w:rPr>
        <w:t xml:space="preserve"> предлагаемого инвестору пакета акций (на основе оценки обоснованной рыночной стоимости Ц</w:t>
      </w:r>
      <w:r>
        <w:rPr>
          <w:rFonts w:ascii="Times New Roman" w:cs="Times New Roman" w:eastAsia="Times New Roman" w:hAnsi="Times New Roman"/>
          <w:sz w:val="36"/>
          <w:szCs w:val="36"/>
          <w:color w:val="auto"/>
          <w:vertAlign w:val="subscript"/>
        </w:rPr>
        <w:t>0</w:t>
      </w:r>
      <w:r>
        <w:rPr>
          <w:rFonts w:ascii="Times New Roman" w:cs="Times New Roman" w:eastAsia="Times New Roman" w:hAnsi="Times New Roman"/>
          <w:sz w:val="28"/>
          <w:szCs w:val="28"/>
          <w:color w:val="auto"/>
        </w:rPr>
        <w:t xml:space="preserve"> учреждаемой компании в момент ее создания как способной реализовать соответствующий инновационный проект и имеющей стоимость, равную чистой текущей стоимости NPV целевого инновационного проекта) и сопоставить эту величину с текущей стоимостью Ц</w:t>
      </w:r>
      <w:r>
        <w:rPr>
          <w:rFonts w:ascii="Times New Roman" w:cs="Times New Roman" w:eastAsia="Times New Roman" w:hAnsi="Times New Roman"/>
          <w:sz w:val="36"/>
          <w:szCs w:val="36"/>
          <w:color w:val="auto"/>
          <w:vertAlign w:val="subscript"/>
        </w:rPr>
        <w:t>пак3</w:t>
      </w:r>
      <w:r>
        <w:rPr>
          <w:rFonts w:ascii="Times New Roman" w:cs="Times New Roman" w:eastAsia="Times New Roman" w:hAnsi="Times New Roman"/>
          <w:sz w:val="28"/>
          <w:szCs w:val="28"/>
          <w:color w:val="auto"/>
        </w:rPr>
        <w:t xml:space="preserve"> ожидаемого дохода от перепродажи рассматриваемого пакета акций через три года:</w:t>
      </w:r>
    </w:p>
    <w:p>
      <w:pPr>
        <w:spacing w:after="0" w:line="161" w:lineRule="exact"/>
        <w:rPr>
          <w:sz w:val="20"/>
          <w:szCs w:val="20"/>
          <w:color w:val="auto"/>
        </w:rPr>
      </w:pPr>
    </w:p>
    <w:p>
      <w:pPr>
        <w:ind w:left="1020"/>
        <w:spacing w:after="0"/>
        <w:rPr>
          <w:sz w:val="20"/>
          <w:szCs w:val="20"/>
          <w:color w:val="auto"/>
        </w:rPr>
      </w:pPr>
      <w:r>
        <w:rPr>
          <w:rFonts w:ascii="Times New Roman" w:cs="Times New Roman" w:eastAsia="Times New Roman" w:hAnsi="Times New Roman"/>
          <w:sz w:val="28"/>
          <w:szCs w:val="28"/>
          <w:color w:val="auto"/>
        </w:rPr>
        <w:t>Ц</w:t>
      </w:r>
      <w:r>
        <w:rPr>
          <w:rFonts w:ascii="Times New Roman" w:cs="Times New Roman" w:eastAsia="Times New Roman" w:hAnsi="Times New Roman"/>
          <w:sz w:val="18"/>
          <w:szCs w:val="18"/>
          <w:color w:val="auto"/>
        </w:rPr>
        <w:t>пак0</w:t>
      </w:r>
      <w:r>
        <w:rPr>
          <w:rFonts w:ascii="Times New Roman" w:cs="Times New Roman" w:eastAsia="Times New Roman" w:hAnsi="Times New Roman"/>
          <w:sz w:val="28"/>
          <w:szCs w:val="28"/>
          <w:color w:val="auto"/>
        </w:rPr>
        <w:t xml:space="preserve"> = NPV·d</w:t>
      </w:r>
      <w:r>
        <w:rPr>
          <w:rFonts w:ascii="Times New Roman" w:cs="Times New Roman" w:eastAsia="Times New Roman" w:hAnsi="Times New Roman"/>
          <w:sz w:val="18"/>
          <w:szCs w:val="18"/>
          <w:color w:val="auto"/>
        </w:rPr>
        <w:t>пак</w:t>
      </w:r>
      <w:r>
        <w:rPr>
          <w:rFonts w:ascii="Times New Roman" w:cs="Times New Roman" w:eastAsia="Times New Roman" w:hAnsi="Times New Roman"/>
          <w:sz w:val="28"/>
          <w:szCs w:val="28"/>
          <w:color w:val="auto"/>
        </w:rPr>
        <w:t xml:space="preserve"> = (-3 000 000 + 50 000/(1+0,3) + 200 000/(1+0,3)</w:t>
      </w:r>
      <w:r>
        <w:rPr>
          <w:rFonts w:ascii="Times New Roman" w:cs="Times New Roman" w:eastAsia="Times New Roman" w:hAnsi="Times New Roman"/>
          <w:sz w:val="36"/>
          <w:szCs w:val="36"/>
          <w:color w:val="auto"/>
          <w:vertAlign w:val="superscript"/>
        </w:rPr>
        <w:t>2</w:t>
      </w:r>
      <w:r>
        <w:rPr>
          <w:rFonts w:ascii="Times New Roman" w:cs="Times New Roman" w:eastAsia="Times New Roman" w:hAnsi="Times New Roman"/>
          <w:sz w:val="28"/>
          <w:szCs w:val="28"/>
          <w:color w:val="auto"/>
        </w:rPr>
        <w:t xml:space="preserve"> +</w:t>
      </w:r>
    </w:p>
    <w:p>
      <w:pPr>
        <w:ind w:left="1180" w:hanging="228"/>
        <w:spacing w:after="0" w:line="204" w:lineRule="auto"/>
        <w:tabs>
          <w:tab w:leader="none" w:pos="1180" w:val="left"/>
        </w:tabs>
        <w:numPr>
          <w:ilvl w:val="0"/>
          <w:numId w:val="12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2 000 000/(1+0,3)</w:t>
      </w:r>
      <w:r>
        <w:rPr>
          <w:rFonts w:ascii="Times New Roman" w:cs="Times New Roman" w:eastAsia="Times New Roman" w:hAnsi="Times New Roman"/>
          <w:sz w:val="36"/>
          <w:szCs w:val="36"/>
          <w:color w:val="auto"/>
          <w:vertAlign w:val="superscript"/>
        </w:rPr>
        <w:t>3</w:t>
      </w:r>
      <w:r>
        <w:rPr>
          <w:rFonts w:ascii="Times New Roman" w:cs="Times New Roman" w:eastAsia="Times New Roman" w:hAnsi="Times New Roman"/>
          <w:sz w:val="28"/>
          <w:szCs w:val="28"/>
          <w:color w:val="auto"/>
        </w:rPr>
        <w:t xml:space="preserve"> + 4 000 000/(1+0,3)</w:t>
      </w:r>
      <w:r>
        <w:rPr>
          <w:rFonts w:ascii="Times New Roman" w:cs="Times New Roman" w:eastAsia="Times New Roman" w:hAnsi="Times New Roman"/>
          <w:sz w:val="36"/>
          <w:szCs w:val="36"/>
          <w:color w:val="auto"/>
          <w:vertAlign w:val="superscript"/>
        </w:rPr>
        <w:t>4</w:t>
      </w:r>
      <w:r>
        <w:rPr>
          <w:rFonts w:ascii="Times New Roman" w:cs="Times New Roman" w:eastAsia="Times New Roman" w:hAnsi="Times New Roman"/>
          <w:sz w:val="28"/>
          <w:szCs w:val="28"/>
          <w:color w:val="auto"/>
        </w:rPr>
        <w:t xml:space="preserve"> + 3 500 000/(1+0,3)</w:t>
      </w:r>
      <w:r>
        <w:rPr>
          <w:rFonts w:ascii="Times New Roman" w:cs="Times New Roman" w:eastAsia="Times New Roman" w:hAnsi="Times New Roman"/>
          <w:sz w:val="36"/>
          <w:szCs w:val="36"/>
          <w:color w:val="auto"/>
          <w:vertAlign w:val="superscript"/>
        </w:rPr>
        <w:t>5</w:t>
      </w:r>
      <w:r>
        <w:rPr>
          <w:rFonts w:ascii="Times New Roman" w:cs="Times New Roman" w:eastAsia="Times New Roman" w:hAnsi="Times New Roman"/>
          <w:sz w:val="28"/>
          <w:szCs w:val="28"/>
          <w:color w:val="auto"/>
        </w:rPr>
        <w:t>)·0,45 =</w:t>
      </w:r>
    </w:p>
    <w:p>
      <w:pPr>
        <w:ind w:left="4360" w:hanging="230"/>
        <w:spacing w:after="0"/>
        <w:tabs>
          <w:tab w:leader="none" w:pos="4360" w:val="left"/>
        </w:tabs>
        <w:numPr>
          <w:ilvl w:val="1"/>
          <w:numId w:val="12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184 849руб.</w:t>
      </w:r>
    </w:p>
    <w:p>
      <w:pPr>
        <w:spacing w:after="0" w:line="320" w:lineRule="exact"/>
        <w:rPr>
          <w:sz w:val="20"/>
          <w:szCs w:val="20"/>
          <w:color w:val="auto"/>
        </w:rPr>
      </w:pPr>
    </w:p>
    <w:p>
      <w:pPr>
        <w:jc w:val="center"/>
        <w:ind w:right="-259"/>
        <w:spacing w:after="0"/>
        <w:rPr>
          <w:sz w:val="20"/>
          <w:szCs w:val="20"/>
          <w:color w:val="auto"/>
        </w:rPr>
      </w:pPr>
      <w:r>
        <w:rPr>
          <w:rFonts w:ascii="Times New Roman" w:cs="Times New Roman" w:eastAsia="Times New Roman" w:hAnsi="Times New Roman"/>
          <w:sz w:val="28"/>
          <w:szCs w:val="28"/>
          <w:color w:val="auto"/>
        </w:rPr>
        <w:t>Ц</w:t>
      </w:r>
      <w:r>
        <w:rPr>
          <w:rFonts w:ascii="Times New Roman" w:cs="Times New Roman" w:eastAsia="Times New Roman" w:hAnsi="Times New Roman"/>
          <w:sz w:val="18"/>
          <w:szCs w:val="18"/>
          <w:color w:val="auto"/>
        </w:rPr>
        <w:t>пак3</w:t>
      </w:r>
      <w:r>
        <w:rPr>
          <w:rFonts w:ascii="Times New Roman" w:cs="Times New Roman" w:eastAsia="Times New Roman" w:hAnsi="Times New Roman"/>
          <w:sz w:val="28"/>
          <w:szCs w:val="28"/>
          <w:color w:val="auto"/>
        </w:rPr>
        <w:t xml:space="preserve"> = (PV</w:t>
      </w:r>
      <w:r>
        <w:rPr>
          <w:rFonts w:ascii="Times New Roman" w:cs="Times New Roman" w:eastAsia="Times New Roman" w:hAnsi="Times New Roman"/>
          <w:sz w:val="18"/>
          <w:szCs w:val="18"/>
          <w:color w:val="auto"/>
        </w:rPr>
        <w:t>ост на момент к концу года номер</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18"/>
          <w:szCs w:val="18"/>
          <w:color w:val="auto"/>
        </w:rPr>
        <w:t>3</w:t>
      </w:r>
      <w:r>
        <w:rPr>
          <w:rFonts w:ascii="Times New Roman" w:cs="Times New Roman" w:eastAsia="Times New Roman" w:hAnsi="Times New Roman"/>
          <w:sz w:val="28"/>
          <w:szCs w:val="28"/>
          <w:color w:val="auto"/>
        </w:rPr>
        <w:t>)·d</w:t>
      </w:r>
      <w:r>
        <w:rPr>
          <w:rFonts w:ascii="Times New Roman" w:cs="Times New Roman" w:eastAsia="Times New Roman" w:hAnsi="Times New Roman"/>
          <w:sz w:val="18"/>
          <w:szCs w:val="18"/>
          <w:color w:val="auto"/>
        </w:rPr>
        <w:t>пак</w:t>
      </w:r>
      <w:r>
        <w:rPr>
          <w:rFonts w:ascii="Times New Roman" w:cs="Times New Roman" w:eastAsia="Times New Roman" w:hAnsi="Times New Roman"/>
          <w:sz w:val="28"/>
          <w:szCs w:val="28"/>
          <w:color w:val="auto"/>
        </w:rPr>
        <w:t xml:space="preserve"> = (4 000 000/(1+0,3) +</w:t>
      </w:r>
    </w:p>
    <w:p>
      <w:pPr>
        <w:jc w:val="center"/>
        <w:ind w:right="-259"/>
        <w:spacing w:after="0"/>
        <w:rPr>
          <w:sz w:val="20"/>
          <w:szCs w:val="20"/>
          <w:color w:val="auto"/>
        </w:rPr>
      </w:pPr>
      <w:r>
        <w:rPr>
          <w:rFonts w:ascii="Times New Roman" w:cs="Times New Roman" w:eastAsia="Times New Roman" w:hAnsi="Times New Roman"/>
          <w:sz w:val="28"/>
          <w:szCs w:val="28"/>
          <w:color w:val="auto"/>
        </w:rPr>
        <w:t>+ 3 500 000/(1+0,3)</w:t>
      </w:r>
      <w:r>
        <w:rPr>
          <w:rFonts w:ascii="Times New Roman" w:cs="Times New Roman" w:eastAsia="Times New Roman" w:hAnsi="Times New Roman"/>
          <w:sz w:val="36"/>
          <w:szCs w:val="36"/>
          <w:color w:val="auto"/>
          <w:vertAlign w:val="superscript"/>
        </w:rPr>
        <w:t>2</w:t>
      </w:r>
      <w:r>
        <w:rPr>
          <w:rFonts w:ascii="Times New Roman" w:cs="Times New Roman" w:eastAsia="Times New Roman" w:hAnsi="Times New Roman"/>
          <w:sz w:val="28"/>
          <w:szCs w:val="28"/>
          <w:color w:val="auto"/>
        </w:rPr>
        <w:t>)·0,45 = 2 316 568 руб.</w:t>
      </w:r>
    </w:p>
    <w:p>
      <w:pPr>
        <w:spacing w:after="0" w:line="99" w:lineRule="exact"/>
        <w:rPr>
          <w:sz w:val="20"/>
          <w:szCs w:val="20"/>
          <w:color w:val="auto"/>
        </w:rPr>
      </w:pPr>
    </w:p>
    <w:p>
      <w:pPr>
        <w:jc w:val="center"/>
        <w:ind w:right="-259"/>
        <w:spacing w:after="0"/>
        <w:rPr>
          <w:sz w:val="20"/>
          <w:szCs w:val="20"/>
          <w:color w:val="auto"/>
        </w:rPr>
      </w:pPr>
      <w:r>
        <w:rPr>
          <w:rFonts w:ascii="Times New Roman" w:cs="Times New Roman" w:eastAsia="Times New Roman" w:hAnsi="Times New Roman"/>
          <w:sz w:val="28"/>
          <w:szCs w:val="28"/>
          <w:color w:val="auto"/>
        </w:rPr>
        <w:t>NPV</w:t>
      </w:r>
      <w:r>
        <w:rPr>
          <w:rFonts w:ascii="Times New Roman" w:cs="Times New Roman" w:eastAsia="Times New Roman" w:hAnsi="Times New Roman"/>
          <w:sz w:val="36"/>
          <w:szCs w:val="36"/>
          <w:color w:val="auto"/>
          <w:vertAlign w:val="subscript"/>
        </w:rPr>
        <w:t>инв</w:t>
      </w:r>
      <w:r>
        <w:rPr>
          <w:rFonts w:ascii="Times New Roman" w:cs="Times New Roman" w:eastAsia="Times New Roman" w:hAnsi="Times New Roman"/>
          <w:sz w:val="28"/>
          <w:szCs w:val="28"/>
          <w:color w:val="auto"/>
        </w:rPr>
        <w:t xml:space="preserve"> = -184649 + 231 6568 = 2 131 919 руб.</w:t>
      </w:r>
    </w:p>
    <w:p>
      <w:pPr>
        <w:spacing w:after="0" w:line="230" w:lineRule="exact"/>
        <w:rPr>
          <w:sz w:val="20"/>
          <w:szCs w:val="20"/>
          <w:color w:val="auto"/>
        </w:rPr>
      </w:pPr>
    </w:p>
    <w:p>
      <w:pPr>
        <w:ind w:left="300" w:firstLine="720"/>
        <w:spacing w:after="0" w:line="261" w:lineRule="auto"/>
        <w:rPr>
          <w:sz w:val="20"/>
          <w:szCs w:val="20"/>
          <w:color w:val="auto"/>
        </w:rPr>
      </w:pPr>
      <w:r>
        <w:rPr>
          <w:rFonts w:ascii="Times New Roman" w:cs="Times New Roman" w:eastAsia="Times New Roman" w:hAnsi="Times New Roman"/>
          <w:sz w:val="27"/>
          <w:szCs w:val="27"/>
          <w:color w:val="auto"/>
        </w:rPr>
        <w:t>Критериальный показатель NPV</w:t>
      </w:r>
      <w:r>
        <w:rPr>
          <w:rFonts w:ascii="Times New Roman" w:cs="Times New Roman" w:eastAsia="Times New Roman" w:hAnsi="Times New Roman"/>
          <w:sz w:val="35"/>
          <w:szCs w:val="35"/>
          <w:color w:val="auto"/>
          <w:vertAlign w:val="subscript"/>
        </w:rPr>
        <w:t>инв</w:t>
      </w:r>
      <w:r>
        <w:rPr>
          <w:rFonts w:ascii="Times New Roman" w:cs="Times New Roman" w:eastAsia="Times New Roman" w:hAnsi="Times New Roman"/>
          <w:sz w:val="27"/>
          <w:szCs w:val="27"/>
          <w:color w:val="auto"/>
        </w:rPr>
        <w:t xml:space="preserve"> эффективности капиталовложения является положительным и значительно превышающим нулевое значение. Это</w:t>
      </w:r>
    </w:p>
    <w:p>
      <w:pPr>
        <w:spacing w:after="0" w:line="2" w:lineRule="exact"/>
        <w:rPr>
          <w:sz w:val="20"/>
          <w:szCs w:val="20"/>
          <w:color w:val="auto"/>
        </w:rPr>
      </w:pPr>
    </w:p>
    <w:p>
      <w:pPr>
        <w:ind w:left="300" w:hanging="2"/>
        <w:spacing w:after="0" w:line="270" w:lineRule="auto"/>
        <w:tabs>
          <w:tab w:leader="none" w:pos="626" w:val="left"/>
        </w:tabs>
        <w:numPr>
          <w:ilvl w:val="0"/>
          <w:numId w:val="12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свидетельствует об эффективности для инвестора вложить средства в учреждаемую компанию и планируемый для нее инновационный проект.</w:t>
      </w:r>
    </w:p>
    <w:p>
      <w:pPr>
        <w:spacing w:after="0" w:line="242" w:lineRule="exact"/>
        <w:rPr>
          <w:sz w:val="20"/>
          <w:szCs w:val="20"/>
          <w:color w:val="auto"/>
        </w:rPr>
      </w:pPr>
    </w:p>
    <w:p>
      <w:pPr>
        <w:jc w:val="both"/>
        <w:ind w:left="280" w:right="20" w:firstLine="720"/>
        <w:spacing w:after="0" w:line="255" w:lineRule="auto"/>
        <w:rPr>
          <w:sz w:val="20"/>
          <w:szCs w:val="20"/>
          <w:color w:val="auto"/>
        </w:rPr>
      </w:pPr>
      <w:r>
        <w:rPr>
          <w:rFonts w:ascii="Times New Roman" w:cs="Times New Roman" w:eastAsia="Times New Roman" w:hAnsi="Times New Roman"/>
          <w:sz w:val="28"/>
          <w:szCs w:val="28"/>
          <w:u w:val="single" w:color="auto"/>
          <w:color w:val="auto"/>
        </w:rPr>
        <w:t>Задача</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u w:val="single" w:color="auto"/>
          <w:color w:val="auto"/>
        </w:rPr>
        <w:t>8.4</w:t>
      </w:r>
      <w:r>
        <w:rPr>
          <w:rFonts w:ascii="Times New Roman" w:cs="Times New Roman" w:eastAsia="Times New Roman" w:hAnsi="Times New Roman"/>
          <w:sz w:val="28"/>
          <w:szCs w:val="28"/>
          <w:color w:val="auto"/>
        </w:rPr>
        <w:t>. Компания Х рассматривает условия целесообразности поглощения некоторой компании Y. Целью поглощения является максимизация доходов с акций поглощаемой фирмы.</w:t>
      </w:r>
    </w:p>
    <w:p>
      <w:pPr>
        <w:sectPr>
          <w:pgSz w:w="11900" w:h="16840" w:orient="portrait"/>
          <w:cols w:equalWidth="0" w:num="1">
            <w:col w:w="9620"/>
          </w:cols>
          <w:pgMar w:left="1440" w:top="1112" w:right="844" w:bottom="16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58" w:lineRule="exact"/>
        <w:rPr>
          <w:sz w:val="20"/>
          <w:szCs w:val="20"/>
          <w:color w:val="auto"/>
        </w:rPr>
      </w:pPr>
    </w:p>
    <w:p>
      <w:pPr>
        <w:ind w:left="9380"/>
        <w:spacing w:after="0"/>
        <w:rPr>
          <w:sz w:val="20"/>
          <w:szCs w:val="20"/>
          <w:color w:val="auto"/>
        </w:rPr>
      </w:pPr>
      <w:r>
        <w:rPr>
          <w:rFonts w:ascii="Times New Roman" w:cs="Times New Roman" w:eastAsia="Times New Roman" w:hAnsi="Times New Roman"/>
          <w:sz w:val="24"/>
          <w:szCs w:val="24"/>
          <w:color w:val="auto"/>
        </w:rPr>
        <w:t>60</w:t>
      </w:r>
    </w:p>
    <w:p>
      <w:pPr>
        <w:sectPr>
          <w:pgSz w:w="11900" w:h="16840" w:orient="portrait"/>
          <w:cols w:equalWidth="0" w:num="1">
            <w:col w:w="9620"/>
          </w:cols>
          <w:pgMar w:left="1440" w:top="1112" w:right="844" w:bottom="163" w:gutter="0" w:footer="0" w:header="0"/>
          <w:type w:val="continuous"/>
        </w:sectPr>
      </w:pPr>
    </w:p>
    <w:p>
      <w:pPr>
        <w:jc w:val="both"/>
        <w:ind w:left="280" w:right="80" w:firstLine="720"/>
        <w:spacing w:after="0" w:line="255" w:lineRule="auto"/>
        <w:rPr>
          <w:sz w:val="20"/>
          <w:szCs w:val="20"/>
          <w:color w:val="auto"/>
        </w:rPr>
      </w:pPr>
      <w:r>
        <w:rPr>
          <w:rFonts w:ascii="Times New Roman" w:cs="Times New Roman" w:eastAsia="Times New Roman" w:hAnsi="Times New Roman"/>
          <w:sz w:val="28"/>
          <w:szCs w:val="28"/>
          <w:color w:val="auto"/>
        </w:rPr>
        <w:t>Данные по рассматриваемым компаниям в отчетном году, с учетом видения их перспектив поглощающей фирмой (в отличие от видения их прочими участниками фондового рынка), представлены ниже:</w:t>
      </w:r>
    </w:p>
    <w:p>
      <w:pPr>
        <w:spacing w:after="0" w:line="257" w:lineRule="exact"/>
        <w:rPr>
          <w:sz w:val="20"/>
          <w:szCs w:val="20"/>
          <w:color w:val="auto"/>
        </w:rPr>
      </w:pPr>
    </w:p>
    <w:tbl>
      <w:tblPr>
        <w:tblLayout w:type="fixed"/>
        <w:tblInd w:w="270" w:type="dxa"/>
        <w:tblCellMar>
          <w:top w:w="0" w:type="dxa"/>
          <w:left w:w="0" w:type="dxa"/>
          <w:bottom w:w="0" w:type="dxa"/>
          <w:right w:w="0" w:type="dxa"/>
        </w:tblCellMar>
      </w:tblPr>
      <w:tr>
        <w:trPr>
          <w:trHeight w:val="343"/>
        </w:trPr>
        <w:tc>
          <w:tcPr>
            <w:tcW w:w="6140" w:type="dxa"/>
            <w:vAlign w:val="bottom"/>
            <w:tcBorders>
              <w:top w:val="single" w:sz="8" w:color="auto"/>
              <w:left w:val="single" w:sz="8" w:color="auto"/>
              <w:bottom w:val="single" w:sz="8" w:color="auto"/>
              <w:right w:val="single" w:sz="8" w:color="auto"/>
            </w:tcBorders>
          </w:tcPr>
          <w:p>
            <w:pPr>
              <w:ind w:left="1760"/>
              <w:spacing w:after="0"/>
              <w:rPr>
                <w:sz w:val="20"/>
                <w:szCs w:val="20"/>
                <w:color w:val="auto"/>
              </w:rPr>
            </w:pPr>
            <w:r>
              <w:rPr>
                <w:rFonts w:ascii="Times New Roman" w:cs="Times New Roman" w:eastAsia="Times New Roman" w:hAnsi="Times New Roman"/>
                <w:sz w:val="28"/>
                <w:szCs w:val="28"/>
                <w:color w:val="auto"/>
              </w:rPr>
              <w:t>Показатели компаний</w:t>
            </w:r>
          </w:p>
        </w:tc>
        <w:tc>
          <w:tcPr>
            <w:tcW w:w="1660" w:type="dxa"/>
            <w:vAlign w:val="bottom"/>
            <w:tcBorders>
              <w:top w:val="single" w:sz="8" w:color="auto"/>
              <w:bottom w:val="single" w:sz="8" w:color="auto"/>
              <w:right w:val="single" w:sz="8" w:color="auto"/>
            </w:tcBorders>
          </w:tcPr>
          <w:p>
            <w:pPr>
              <w:ind w:left="80"/>
              <w:spacing w:after="0"/>
              <w:rPr>
                <w:sz w:val="20"/>
                <w:szCs w:val="20"/>
                <w:color w:val="auto"/>
              </w:rPr>
            </w:pPr>
            <w:r>
              <w:rPr>
                <w:rFonts w:ascii="Times New Roman" w:cs="Times New Roman" w:eastAsia="Times New Roman" w:hAnsi="Times New Roman"/>
                <w:sz w:val="28"/>
                <w:szCs w:val="28"/>
                <w:color w:val="auto"/>
              </w:rPr>
              <w:t>Компания X</w:t>
            </w:r>
          </w:p>
        </w:tc>
        <w:tc>
          <w:tcPr>
            <w:tcW w:w="1620" w:type="dxa"/>
            <w:vAlign w:val="bottom"/>
            <w:tcBorders>
              <w:top w:val="single" w:sz="8" w:color="auto"/>
              <w:bottom w:val="single" w:sz="8" w:color="auto"/>
              <w:right w:val="single" w:sz="8" w:color="auto"/>
            </w:tcBorders>
          </w:tcPr>
          <w:p>
            <w:pPr>
              <w:ind w:left="80"/>
              <w:spacing w:after="0"/>
              <w:rPr>
                <w:sz w:val="20"/>
                <w:szCs w:val="20"/>
                <w:color w:val="auto"/>
              </w:rPr>
            </w:pPr>
            <w:r>
              <w:rPr>
                <w:rFonts w:ascii="Times New Roman" w:cs="Times New Roman" w:eastAsia="Times New Roman" w:hAnsi="Times New Roman"/>
                <w:sz w:val="28"/>
                <w:szCs w:val="28"/>
                <w:color w:val="auto"/>
              </w:rPr>
              <w:t>Компания Y</w:t>
            </w:r>
          </w:p>
        </w:tc>
        <w:tc>
          <w:tcPr>
            <w:tcW w:w="0" w:type="dxa"/>
            <w:vAlign w:val="bottom"/>
          </w:tcPr>
          <w:p>
            <w:pPr>
              <w:spacing w:after="0"/>
              <w:rPr>
                <w:sz w:val="1"/>
                <w:szCs w:val="1"/>
                <w:color w:val="auto"/>
              </w:rPr>
            </w:pPr>
          </w:p>
        </w:tc>
      </w:tr>
      <w:tr>
        <w:trPr>
          <w:trHeight w:val="20"/>
        </w:trPr>
        <w:tc>
          <w:tcPr>
            <w:tcW w:w="6140" w:type="dxa"/>
            <w:vAlign w:val="bottom"/>
            <w:tcBorders>
              <w:left w:val="single" w:sz="8" w:color="auto"/>
              <w:right w:val="single" w:sz="8" w:color="auto"/>
            </w:tcBorders>
            <w:vMerge w:val="restart"/>
          </w:tcPr>
          <w:p>
            <w:pPr>
              <w:ind w:left="40"/>
              <w:spacing w:after="0" w:line="317" w:lineRule="exact"/>
              <w:rPr>
                <w:sz w:val="20"/>
                <w:szCs w:val="20"/>
                <w:color w:val="auto"/>
              </w:rPr>
            </w:pPr>
            <w:r>
              <w:rPr>
                <w:rFonts w:ascii="Times New Roman" w:cs="Times New Roman" w:eastAsia="Times New Roman" w:hAnsi="Times New Roman"/>
                <w:sz w:val="28"/>
                <w:szCs w:val="28"/>
                <w:color w:val="auto"/>
              </w:rPr>
              <w:t>Чистая прибыль (без процентов и налогов), руб.</w:t>
            </w:r>
          </w:p>
        </w:tc>
        <w:tc>
          <w:tcPr>
            <w:tcW w:w="1660" w:type="dxa"/>
            <w:vAlign w:val="bottom"/>
            <w:tcBorders>
              <w:right w:val="single" w:sz="8" w:color="auto"/>
            </w:tcBorders>
          </w:tcPr>
          <w:p>
            <w:pPr>
              <w:spacing w:after="0" w:line="20" w:lineRule="exact"/>
              <w:rPr>
                <w:sz w:val="1"/>
                <w:szCs w:val="1"/>
                <w:color w:val="auto"/>
              </w:rPr>
            </w:pPr>
          </w:p>
        </w:tc>
        <w:tc>
          <w:tcPr>
            <w:tcW w:w="1620" w:type="dxa"/>
            <w:vAlign w:val="bottom"/>
            <w:tcBorders>
              <w:right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97"/>
        </w:trPr>
        <w:tc>
          <w:tcPr>
            <w:tcW w:w="6140" w:type="dxa"/>
            <w:vAlign w:val="bottom"/>
            <w:tcBorders>
              <w:left w:val="single" w:sz="8" w:color="auto"/>
              <w:bottom w:val="single" w:sz="8" w:color="auto"/>
              <w:right w:val="single" w:sz="8" w:color="auto"/>
            </w:tcBorders>
            <w:vMerge w:val="continue"/>
          </w:tcPr>
          <w:p>
            <w:pPr>
              <w:spacing w:after="0"/>
              <w:rPr>
                <w:sz w:val="24"/>
                <w:szCs w:val="24"/>
                <w:color w:val="auto"/>
              </w:rPr>
            </w:pPr>
          </w:p>
        </w:tc>
        <w:tc>
          <w:tcPr>
            <w:tcW w:w="1660" w:type="dxa"/>
            <w:vAlign w:val="bottom"/>
            <w:tcBorders>
              <w:bottom w:val="single" w:sz="8" w:color="auto"/>
              <w:right w:val="single" w:sz="8" w:color="auto"/>
            </w:tcBorders>
          </w:tcPr>
          <w:p>
            <w:pPr>
              <w:jc w:val="center"/>
              <w:spacing w:after="0" w:line="297" w:lineRule="exact"/>
              <w:rPr>
                <w:sz w:val="20"/>
                <w:szCs w:val="20"/>
                <w:color w:val="auto"/>
              </w:rPr>
            </w:pPr>
            <w:r>
              <w:rPr>
                <w:rFonts w:ascii="Times New Roman" w:cs="Times New Roman" w:eastAsia="Times New Roman" w:hAnsi="Times New Roman"/>
                <w:sz w:val="28"/>
                <w:szCs w:val="28"/>
                <w:color w:val="auto"/>
                <w:w w:val="99"/>
              </w:rPr>
              <w:t>300000</w:t>
            </w:r>
          </w:p>
        </w:tc>
        <w:tc>
          <w:tcPr>
            <w:tcW w:w="1620" w:type="dxa"/>
            <w:vAlign w:val="bottom"/>
            <w:tcBorders>
              <w:bottom w:val="single" w:sz="8" w:color="auto"/>
              <w:right w:val="single" w:sz="8" w:color="auto"/>
            </w:tcBorders>
          </w:tcPr>
          <w:p>
            <w:pPr>
              <w:jc w:val="center"/>
              <w:spacing w:after="0" w:line="297" w:lineRule="exact"/>
              <w:rPr>
                <w:sz w:val="20"/>
                <w:szCs w:val="20"/>
                <w:color w:val="auto"/>
              </w:rPr>
            </w:pPr>
            <w:r>
              <w:rPr>
                <w:rFonts w:ascii="Times New Roman" w:cs="Times New Roman" w:eastAsia="Times New Roman" w:hAnsi="Times New Roman"/>
                <w:sz w:val="28"/>
                <w:szCs w:val="28"/>
                <w:color w:val="auto"/>
                <w:w w:val="97"/>
              </w:rPr>
              <w:t>100000</w:t>
            </w:r>
          </w:p>
        </w:tc>
        <w:tc>
          <w:tcPr>
            <w:tcW w:w="0" w:type="dxa"/>
            <w:vAlign w:val="bottom"/>
          </w:tcPr>
          <w:p>
            <w:pPr>
              <w:spacing w:after="0"/>
              <w:rPr>
                <w:sz w:val="1"/>
                <w:szCs w:val="1"/>
                <w:color w:val="auto"/>
              </w:rPr>
            </w:pPr>
          </w:p>
        </w:tc>
      </w:tr>
      <w:tr>
        <w:trPr>
          <w:trHeight w:val="296"/>
        </w:trPr>
        <w:tc>
          <w:tcPr>
            <w:tcW w:w="6140" w:type="dxa"/>
            <w:vAlign w:val="bottom"/>
            <w:tcBorders>
              <w:left w:val="single" w:sz="8" w:color="auto"/>
              <w:right w:val="single" w:sz="8" w:color="auto"/>
            </w:tcBorders>
          </w:tcPr>
          <w:p>
            <w:pPr>
              <w:ind w:left="40"/>
              <w:spacing w:after="0" w:line="296" w:lineRule="exact"/>
              <w:rPr>
                <w:sz w:val="20"/>
                <w:szCs w:val="20"/>
                <w:color w:val="auto"/>
              </w:rPr>
            </w:pPr>
            <w:r>
              <w:rPr>
                <w:rFonts w:ascii="Times New Roman" w:cs="Times New Roman" w:eastAsia="Times New Roman" w:hAnsi="Times New Roman"/>
                <w:sz w:val="28"/>
                <w:szCs w:val="28"/>
                <w:color w:val="auto"/>
              </w:rPr>
              <w:t>Обыкновенные акции, находящиеся в обращении,</w:t>
            </w:r>
          </w:p>
        </w:tc>
        <w:tc>
          <w:tcPr>
            <w:tcW w:w="1660" w:type="dxa"/>
            <w:vAlign w:val="bottom"/>
            <w:tcBorders>
              <w:right w:val="single" w:sz="8" w:color="auto"/>
            </w:tcBorders>
          </w:tcPr>
          <w:p>
            <w:pPr>
              <w:jc w:val="center"/>
              <w:spacing w:after="0" w:line="296" w:lineRule="exact"/>
              <w:rPr>
                <w:sz w:val="20"/>
                <w:szCs w:val="20"/>
                <w:color w:val="auto"/>
              </w:rPr>
            </w:pPr>
            <w:r>
              <w:rPr>
                <w:rFonts w:ascii="Times New Roman" w:cs="Times New Roman" w:eastAsia="Times New Roman" w:hAnsi="Times New Roman"/>
                <w:sz w:val="28"/>
                <w:szCs w:val="28"/>
                <w:color w:val="auto"/>
                <w:w w:val="96"/>
              </w:rPr>
              <w:t>300 000</w:t>
            </w:r>
          </w:p>
        </w:tc>
        <w:tc>
          <w:tcPr>
            <w:tcW w:w="1620" w:type="dxa"/>
            <w:vAlign w:val="bottom"/>
            <w:tcBorders>
              <w:right w:val="single" w:sz="8" w:color="auto"/>
            </w:tcBorders>
          </w:tcPr>
          <w:p>
            <w:pPr>
              <w:jc w:val="center"/>
              <w:spacing w:after="0" w:line="296" w:lineRule="exact"/>
              <w:rPr>
                <w:sz w:val="20"/>
                <w:szCs w:val="20"/>
                <w:color w:val="auto"/>
              </w:rPr>
            </w:pPr>
            <w:r>
              <w:rPr>
                <w:rFonts w:ascii="Times New Roman" w:cs="Times New Roman" w:eastAsia="Times New Roman" w:hAnsi="Times New Roman"/>
                <w:sz w:val="28"/>
                <w:szCs w:val="28"/>
                <w:color w:val="auto"/>
                <w:w w:val="94"/>
              </w:rPr>
              <w:t>100 000</w:t>
            </w:r>
          </w:p>
        </w:tc>
        <w:tc>
          <w:tcPr>
            <w:tcW w:w="0" w:type="dxa"/>
            <w:vAlign w:val="bottom"/>
          </w:tcPr>
          <w:p>
            <w:pPr>
              <w:spacing w:after="0"/>
              <w:rPr>
                <w:sz w:val="1"/>
                <w:szCs w:val="1"/>
                <w:color w:val="auto"/>
              </w:rPr>
            </w:pPr>
          </w:p>
        </w:tc>
      </w:tr>
      <w:tr>
        <w:trPr>
          <w:trHeight w:val="343"/>
        </w:trPr>
        <w:tc>
          <w:tcPr>
            <w:tcW w:w="6140" w:type="dxa"/>
            <w:vAlign w:val="bottom"/>
            <w:tcBorders>
              <w:left w:val="single" w:sz="8" w:color="auto"/>
              <w:bottom w:val="single" w:sz="8" w:color="auto"/>
              <w:right w:val="single" w:sz="8" w:color="auto"/>
            </w:tcBorders>
          </w:tcPr>
          <w:p>
            <w:pPr>
              <w:ind w:left="40"/>
              <w:spacing w:after="0"/>
              <w:rPr>
                <w:sz w:val="20"/>
                <w:szCs w:val="20"/>
                <w:color w:val="auto"/>
              </w:rPr>
            </w:pPr>
            <w:r>
              <w:rPr>
                <w:rFonts w:ascii="Times New Roman" w:cs="Times New Roman" w:eastAsia="Times New Roman" w:hAnsi="Times New Roman"/>
                <w:sz w:val="28"/>
                <w:szCs w:val="28"/>
                <w:color w:val="auto"/>
              </w:rPr>
              <w:t>штук</w:t>
            </w:r>
          </w:p>
        </w:tc>
        <w:tc>
          <w:tcPr>
            <w:tcW w:w="1660" w:type="dxa"/>
            <w:vAlign w:val="bottom"/>
            <w:tcBorders>
              <w:bottom w:val="single" w:sz="8" w:color="auto"/>
              <w:right w:val="single" w:sz="8" w:color="auto"/>
            </w:tcBorders>
          </w:tcPr>
          <w:p>
            <w:pPr>
              <w:spacing w:after="0"/>
              <w:rPr>
                <w:sz w:val="24"/>
                <w:szCs w:val="24"/>
                <w:color w:val="auto"/>
              </w:rPr>
            </w:pPr>
          </w:p>
        </w:tc>
        <w:tc>
          <w:tcPr>
            <w:tcW w:w="162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17"/>
        </w:trPr>
        <w:tc>
          <w:tcPr>
            <w:tcW w:w="6140" w:type="dxa"/>
            <w:vAlign w:val="bottom"/>
            <w:tcBorders>
              <w:left w:val="single" w:sz="8" w:color="auto"/>
              <w:bottom w:val="single" w:sz="8" w:color="auto"/>
              <w:right w:val="single" w:sz="8" w:color="auto"/>
            </w:tcBorders>
          </w:tcPr>
          <w:p>
            <w:pPr>
              <w:ind w:left="40"/>
              <w:spacing w:after="0" w:line="317" w:lineRule="exact"/>
              <w:rPr>
                <w:sz w:val="20"/>
                <w:szCs w:val="20"/>
                <w:color w:val="auto"/>
              </w:rPr>
            </w:pPr>
            <w:r>
              <w:rPr>
                <w:rFonts w:ascii="Times New Roman" w:cs="Times New Roman" w:eastAsia="Times New Roman" w:hAnsi="Times New Roman"/>
                <w:sz w:val="28"/>
                <w:szCs w:val="28"/>
                <w:color w:val="auto"/>
              </w:rPr>
              <w:t>Прибыль на акцию, руб.</w:t>
            </w:r>
          </w:p>
        </w:tc>
        <w:tc>
          <w:tcPr>
            <w:tcW w:w="1660" w:type="dxa"/>
            <w:vAlign w:val="bottom"/>
            <w:tcBorders>
              <w:bottom w:val="single" w:sz="8" w:color="auto"/>
              <w:right w:val="single" w:sz="8" w:color="auto"/>
            </w:tcBorders>
          </w:tcPr>
          <w:p>
            <w:pPr>
              <w:jc w:val="center"/>
              <w:spacing w:after="0" w:line="317" w:lineRule="exact"/>
              <w:rPr>
                <w:sz w:val="20"/>
                <w:szCs w:val="20"/>
                <w:color w:val="auto"/>
              </w:rPr>
            </w:pPr>
            <w:r>
              <w:rPr>
                <w:rFonts w:ascii="Times New Roman" w:cs="Times New Roman" w:eastAsia="Times New Roman" w:hAnsi="Times New Roman"/>
                <w:sz w:val="28"/>
                <w:szCs w:val="28"/>
                <w:color w:val="auto"/>
              </w:rPr>
              <w:t>1,0</w:t>
            </w:r>
          </w:p>
        </w:tc>
        <w:tc>
          <w:tcPr>
            <w:tcW w:w="1620" w:type="dxa"/>
            <w:vAlign w:val="bottom"/>
            <w:tcBorders>
              <w:bottom w:val="single" w:sz="8" w:color="auto"/>
              <w:right w:val="single" w:sz="8" w:color="auto"/>
            </w:tcBorders>
          </w:tcPr>
          <w:p>
            <w:pPr>
              <w:jc w:val="center"/>
              <w:spacing w:after="0" w:line="317" w:lineRule="exact"/>
              <w:rPr>
                <w:sz w:val="20"/>
                <w:szCs w:val="20"/>
                <w:color w:val="auto"/>
              </w:rPr>
            </w:pPr>
            <w:r>
              <w:rPr>
                <w:rFonts w:ascii="Times New Roman" w:cs="Times New Roman" w:eastAsia="Times New Roman" w:hAnsi="Times New Roman"/>
                <w:sz w:val="28"/>
                <w:szCs w:val="28"/>
                <w:color w:val="auto"/>
              </w:rPr>
              <w:t>1,0</w:t>
            </w:r>
          </w:p>
        </w:tc>
        <w:tc>
          <w:tcPr>
            <w:tcW w:w="0" w:type="dxa"/>
            <w:vAlign w:val="bottom"/>
          </w:tcPr>
          <w:p>
            <w:pPr>
              <w:spacing w:after="0"/>
              <w:rPr>
                <w:sz w:val="1"/>
                <w:szCs w:val="1"/>
                <w:color w:val="auto"/>
              </w:rPr>
            </w:pPr>
          </w:p>
        </w:tc>
      </w:tr>
      <w:tr>
        <w:trPr>
          <w:trHeight w:val="296"/>
        </w:trPr>
        <w:tc>
          <w:tcPr>
            <w:tcW w:w="6140" w:type="dxa"/>
            <w:vAlign w:val="bottom"/>
            <w:tcBorders>
              <w:left w:val="single" w:sz="8" w:color="auto"/>
              <w:right w:val="single" w:sz="8" w:color="auto"/>
            </w:tcBorders>
          </w:tcPr>
          <w:p>
            <w:pPr>
              <w:ind w:left="40"/>
              <w:spacing w:after="0" w:line="296" w:lineRule="exact"/>
              <w:rPr>
                <w:sz w:val="20"/>
                <w:szCs w:val="20"/>
                <w:color w:val="auto"/>
              </w:rPr>
            </w:pPr>
            <w:r>
              <w:rPr>
                <w:rFonts w:ascii="Times New Roman" w:cs="Times New Roman" w:eastAsia="Times New Roman" w:hAnsi="Times New Roman"/>
                <w:sz w:val="28"/>
                <w:szCs w:val="28"/>
                <w:color w:val="auto"/>
              </w:rPr>
              <w:t>Ожидаемый прирост прибыли в год после</w:t>
            </w:r>
          </w:p>
        </w:tc>
        <w:tc>
          <w:tcPr>
            <w:tcW w:w="1660" w:type="dxa"/>
            <w:vAlign w:val="bottom"/>
            <w:tcBorders>
              <w:right w:val="single" w:sz="8" w:color="auto"/>
            </w:tcBorders>
          </w:tcPr>
          <w:p>
            <w:pPr>
              <w:jc w:val="center"/>
              <w:spacing w:after="0" w:line="296" w:lineRule="exact"/>
              <w:rPr>
                <w:sz w:val="20"/>
                <w:szCs w:val="20"/>
                <w:color w:val="auto"/>
              </w:rPr>
            </w:pPr>
            <w:r>
              <w:rPr>
                <w:rFonts w:ascii="Times New Roman" w:cs="Times New Roman" w:eastAsia="Times New Roman" w:hAnsi="Times New Roman"/>
                <w:sz w:val="28"/>
                <w:szCs w:val="28"/>
                <w:color w:val="auto"/>
                <w:w w:val="99"/>
              </w:rPr>
              <w:t>2</w:t>
            </w:r>
          </w:p>
        </w:tc>
        <w:tc>
          <w:tcPr>
            <w:tcW w:w="1620" w:type="dxa"/>
            <w:vAlign w:val="bottom"/>
            <w:tcBorders>
              <w:right w:val="single" w:sz="8" w:color="auto"/>
            </w:tcBorders>
          </w:tcPr>
          <w:p>
            <w:pPr>
              <w:jc w:val="center"/>
              <w:spacing w:after="0" w:line="296" w:lineRule="exact"/>
              <w:rPr>
                <w:sz w:val="20"/>
                <w:szCs w:val="20"/>
                <w:color w:val="auto"/>
              </w:rPr>
            </w:pPr>
            <w:r>
              <w:rPr>
                <w:rFonts w:ascii="Times New Roman" w:cs="Times New Roman" w:eastAsia="Times New Roman" w:hAnsi="Times New Roman"/>
                <w:sz w:val="28"/>
                <w:szCs w:val="28"/>
                <w:color w:val="auto"/>
                <w:w w:val="99"/>
              </w:rPr>
              <w:t>4</w:t>
            </w:r>
          </w:p>
        </w:tc>
        <w:tc>
          <w:tcPr>
            <w:tcW w:w="0" w:type="dxa"/>
            <w:vAlign w:val="bottom"/>
          </w:tcPr>
          <w:p>
            <w:pPr>
              <w:spacing w:after="0"/>
              <w:rPr>
                <w:sz w:val="1"/>
                <w:szCs w:val="1"/>
                <w:color w:val="auto"/>
              </w:rPr>
            </w:pPr>
          </w:p>
        </w:tc>
      </w:tr>
      <w:tr>
        <w:trPr>
          <w:trHeight w:val="343"/>
        </w:trPr>
        <w:tc>
          <w:tcPr>
            <w:tcW w:w="6140" w:type="dxa"/>
            <w:vAlign w:val="bottom"/>
            <w:tcBorders>
              <w:left w:val="single" w:sz="8" w:color="auto"/>
              <w:bottom w:val="single" w:sz="8" w:color="auto"/>
              <w:right w:val="single" w:sz="8" w:color="auto"/>
            </w:tcBorders>
          </w:tcPr>
          <w:p>
            <w:pPr>
              <w:ind w:left="40"/>
              <w:spacing w:after="0"/>
              <w:rPr>
                <w:sz w:val="20"/>
                <w:szCs w:val="20"/>
                <w:color w:val="auto"/>
              </w:rPr>
            </w:pPr>
            <w:r>
              <w:rPr>
                <w:rFonts w:ascii="Times New Roman" w:cs="Times New Roman" w:eastAsia="Times New Roman" w:hAnsi="Times New Roman"/>
                <w:sz w:val="28"/>
                <w:szCs w:val="28"/>
                <w:color w:val="auto"/>
              </w:rPr>
              <w:t>поглощения, а, %</w:t>
            </w:r>
          </w:p>
        </w:tc>
        <w:tc>
          <w:tcPr>
            <w:tcW w:w="1660" w:type="dxa"/>
            <w:vAlign w:val="bottom"/>
            <w:tcBorders>
              <w:bottom w:val="single" w:sz="8" w:color="auto"/>
              <w:right w:val="single" w:sz="8" w:color="auto"/>
            </w:tcBorders>
          </w:tcPr>
          <w:p>
            <w:pPr>
              <w:spacing w:after="0"/>
              <w:rPr>
                <w:sz w:val="24"/>
                <w:szCs w:val="24"/>
                <w:color w:val="auto"/>
              </w:rPr>
            </w:pPr>
          </w:p>
        </w:tc>
        <w:tc>
          <w:tcPr>
            <w:tcW w:w="162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16"/>
        </w:trPr>
        <w:tc>
          <w:tcPr>
            <w:tcW w:w="6140" w:type="dxa"/>
            <w:vAlign w:val="bottom"/>
            <w:tcBorders>
              <w:left w:val="single" w:sz="8" w:color="auto"/>
              <w:bottom w:val="single" w:sz="8" w:color="auto"/>
              <w:right w:val="single" w:sz="8" w:color="auto"/>
            </w:tcBorders>
          </w:tcPr>
          <w:p>
            <w:pPr>
              <w:ind w:left="40"/>
              <w:spacing w:after="0" w:line="316" w:lineRule="exact"/>
              <w:rPr>
                <w:sz w:val="20"/>
                <w:szCs w:val="20"/>
                <w:color w:val="auto"/>
              </w:rPr>
            </w:pPr>
            <w:r>
              <w:rPr>
                <w:rFonts w:ascii="Times New Roman" w:cs="Times New Roman" w:eastAsia="Times New Roman" w:hAnsi="Times New Roman"/>
                <w:sz w:val="28"/>
                <w:szCs w:val="28"/>
                <w:color w:val="auto"/>
              </w:rPr>
              <w:t>Соотношение «Цена/Прибыль»</w:t>
            </w:r>
          </w:p>
        </w:tc>
        <w:tc>
          <w:tcPr>
            <w:tcW w:w="1660" w:type="dxa"/>
            <w:vAlign w:val="bottom"/>
            <w:tcBorders>
              <w:bottom w:val="single" w:sz="8" w:color="auto"/>
              <w:right w:val="single" w:sz="8" w:color="auto"/>
            </w:tcBorders>
          </w:tcPr>
          <w:p>
            <w:pPr>
              <w:jc w:val="center"/>
              <w:spacing w:after="0" w:line="316" w:lineRule="exact"/>
              <w:rPr>
                <w:sz w:val="20"/>
                <w:szCs w:val="20"/>
                <w:color w:val="auto"/>
              </w:rPr>
            </w:pPr>
            <w:r>
              <w:rPr>
                <w:rFonts w:ascii="Times New Roman" w:cs="Times New Roman" w:eastAsia="Times New Roman" w:hAnsi="Times New Roman"/>
                <w:sz w:val="28"/>
                <w:szCs w:val="28"/>
                <w:color w:val="auto"/>
              </w:rPr>
              <w:t>8: 1</w:t>
            </w:r>
          </w:p>
        </w:tc>
        <w:tc>
          <w:tcPr>
            <w:tcW w:w="1620" w:type="dxa"/>
            <w:vAlign w:val="bottom"/>
            <w:tcBorders>
              <w:bottom w:val="single" w:sz="8" w:color="auto"/>
              <w:right w:val="single" w:sz="8" w:color="auto"/>
            </w:tcBorders>
          </w:tcPr>
          <w:p>
            <w:pPr>
              <w:jc w:val="center"/>
              <w:spacing w:after="0" w:line="316" w:lineRule="exact"/>
              <w:rPr>
                <w:sz w:val="20"/>
                <w:szCs w:val="20"/>
                <w:color w:val="auto"/>
              </w:rPr>
            </w:pPr>
            <w:r>
              <w:rPr>
                <w:rFonts w:ascii="Times New Roman" w:cs="Times New Roman" w:eastAsia="Times New Roman" w:hAnsi="Times New Roman"/>
                <w:sz w:val="28"/>
                <w:szCs w:val="28"/>
                <w:color w:val="auto"/>
              </w:rPr>
              <w:t>(8:1)/Z</w:t>
            </w: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4045585</wp:posOffset>
                </wp:positionH>
                <wp:positionV relativeFrom="paragraph">
                  <wp:posOffset>-1702435</wp:posOffset>
                </wp:positionV>
                <wp:extent cx="12700" cy="12065"/>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700" cy="12065"/>
                        </a:xfrm>
                        <a:prstGeom prst="rect">
                          <a:avLst/>
                        </a:prstGeom>
                        <a:solidFill>
                          <a:srgbClr val="000000"/>
                        </a:solidFill>
                      </wps:spPr>
                      <wps:bodyPr/>
                    </wps:wsp>
                  </a:graphicData>
                </a:graphic>
              </wp:anchor>
            </w:drawing>
          </mc:Choice>
          <mc:Fallback>
            <w:pict>
              <v:rect id="Shape 37" o:spid="_x0000_s1062" style="position:absolute;margin-left:318.55pt;margin-top:-134.0499pt;width:1pt;height:0.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mc:AlternateContent>
          <mc:Choice Requires="wps">
            <w:drawing>
              <wp:anchor simplePos="0" relativeHeight="251657728" behindDoc="1" locked="0" layoutInCell="0" allowOverlap="1">
                <wp:simplePos x="0" y="0"/>
                <wp:positionH relativeFrom="column">
                  <wp:posOffset>4056380</wp:posOffset>
                </wp:positionH>
                <wp:positionV relativeFrom="paragraph">
                  <wp:posOffset>-1691640</wp:posOffset>
                </wp:positionV>
                <wp:extent cx="1051560" cy="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051560" cy="4763"/>
                        </a:xfrm>
                        <a:prstGeom prst="line">
                          <a:avLst/>
                        </a:prstGeom>
                        <a:solidFill>
                          <a:srgbClr val="FFFFFF"/>
                        </a:solidFill>
                        <a:ln w="761">
                          <a:solidFill>
                            <a:srgbClr val="FFFFFF"/>
                          </a:solidFill>
                          <a:miter lim="800000"/>
                          <a:headEnd/>
                          <a:tailEnd/>
                        </a:ln>
                      </wps:spPr>
                      <wps:bodyPr/>
                    </wps:wsp>
                  </a:graphicData>
                </a:graphic>
              </wp:anchor>
            </w:drawing>
          </mc:Choice>
          <mc:Fallback>
            <w:pict>
              <v:line id="Shape 38" o:spid="_x0000_s106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9.4pt,-133.1999pt" to="402.2pt,-133.1999pt" o:allowincell="f" strokecolor="#FFFFFF" strokeweight="0.0599pt"/>
            </w:pict>
          </mc:Fallback>
        </mc:AlternateContent>
        <mc:AlternateContent>
          <mc:Choice Requires="wps">
            <w:drawing>
              <wp:anchor simplePos="0" relativeHeight="251657728" behindDoc="1" locked="0" layoutInCell="0" allowOverlap="1">
                <wp:simplePos x="0" y="0"/>
                <wp:positionH relativeFrom="column">
                  <wp:posOffset>5117465</wp:posOffset>
                </wp:positionH>
                <wp:positionV relativeFrom="paragraph">
                  <wp:posOffset>-1691640</wp:posOffset>
                </wp:positionV>
                <wp:extent cx="1019175" cy="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019175" cy="4763"/>
                        </a:xfrm>
                        <a:prstGeom prst="line">
                          <a:avLst/>
                        </a:prstGeom>
                        <a:solidFill>
                          <a:srgbClr val="FFFFFF"/>
                        </a:solidFill>
                        <a:ln w="761">
                          <a:solidFill>
                            <a:srgbClr val="FFFFFF"/>
                          </a:solidFill>
                          <a:miter lim="800000"/>
                          <a:headEnd/>
                          <a:tailEnd/>
                        </a:ln>
                      </wps:spPr>
                      <wps:bodyPr/>
                    </wps:wsp>
                  </a:graphicData>
                </a:graphic>
              </wp:anchor>
            </w:drawing>
          </mc:Choice>
          <mc:Fallback>
            <w:pict>
              <v:line id="Shape 39" o:spid="_x0000_s106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02.95pt,-133.1999pt" to="483.2pt,-133.1999pt" o:allowincell="f" strokecolor="#FFFFFF" strokeweight="0.0599pt"/>
            </w:pict>
          </mc:Fallback>
        </mc:AlternateContent>
        <mc:AlternateContent>
          <mc:Choice Requires="wps">
            <w:drawing>
              <wp:anchor simplePos="0" relativeHeight="251657728" behindDoc="1" locked="0" layoutInCell="0" allowOverlap="1">
                <wp:simplePos x="0" y="0"/>
                <wp:positionH relativeFrom="column">
                  <wp:posOffset>170180</wp:posOffset>
                </wp:positionH>
                <wp:positionV relativeFrom="paragraph">
                  <wp:posOffset>-1477645</wp:posOffset>
                </wp:positionV>
                <wp:extent cx="3877310" cy="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877310" cy="4763"/>
                        </a:xfrm>
                        <a:prstGeom prst="line">
                          <a:avLst/>
                        </a:prstGeom>
                        <a:solidFill>
                          <a:srgbClr val="FFFFFF"/>
                        </a:solidFill>
                        <a:ln w="762">
                          <a:solidFill>
                            <a:srgbClr val="FFFFFF"/>
                          </a:solidFill>
                          <a:miter lim="800000"/>
                          <a:headEnd/>
                          <a:tailEnd/>
                        </a:ln>
                      </wps:spPr>
                      <wps:bodyPr/>
                    </wps:wsp>
                  </a:graphicData>
                </a:graphic>
              </wp:anchor>
            </w:drawing>
          </mc:Choice>
          <mc:Fallback>
            <w:pict>
              <v:line id="Shape 40" o:spid="_x0000_s106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4pt,-116.3499pt" to="318.7pt,-116.3499pt" o:allowincell="f" strokecolor="#FFFFFF" strokeweight="0.06pt"/>
            </w:pict>
          </mc:Fallback>
        </mc:AlternateContent>
        <mc:AlternateContent>
          <mc:Choice Requires="wps">
            <w:drawing>
              <wp:anchor simplePos="0" relativeHeight="251657728" behindDoc="1" locked="0" layoutInCell="0" allowOverlap="1">
                <wp:simplePos x="0" y="0"/>
                <wp:positionH relativeFrom="column">
                  <wp:posOffset>4045585</wp:posOffset>
                </wp:positionH>
                <wp:positionV relativeFrom="paragraph">
                  <wp:posOffset>-1488440</wp:posOffset>
                </wp:positionV>
                <wp:extent cx="12700" cy="1270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w:pict>
              <v:rect id="Shape 41" o:spid="_x0000_s1066" style="position:absolute;margin-left:318.55pt;margin-top:-117.19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mc:AlternateContent>
          <mc:Choice Requires="wps">
            <w:drawing>
              <wp:anchor simplePos="0" relativeHeight="251657728" behindDoc="1" locked="0" layoutInCell="0" allowOverlap="1">
                <wp:simplePos x="0" y="0"/>
                <wp:positionH relativeFrom="column">
                  <wp:posOffset>4056380</wp:posOffset>
                </wp:positionH>
                <wp:positionV relativeFrom="paragraph">
                  <wp:posOffset>-1477645</wp:posOffset>
                </wp:positionV>
                <wp:extent cx="1051560" cy="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051560" cy="4763"/>
                        </a:xfrm>
                        <a:prstGeom prst="line">
                          <a:avLst/>
                        </a:prstGeom>
                        <a:solidFill>
                          <a:srgbClr val="FFFFFF"/>
                        </a:solidFill>
                        <a:ln w="761">
                          <a:solidFill>
                            <a:srgbClr val="FFFFFF"/>
                          </a:solidFill>
                          <a:miter lim="800000"/>
                          <a:headEnd/>
                          <a:tailEnd/>
                        </a:ln>
                      </wps:spPr>
                      <wps:bodyPr/>
                    </wps:wsp>
                  </a:graphicData>
                </a:graphic>
              </wp:anchor>
            </w:drawing>
          </mc:Choice>
          <mc:Fallback>
            <w:pict>
              <v:line id="Shape 42" o:spid="_x0000_s106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9.4pt,-116.3499pt" to="402.2pt,-116.3499pt" o:allowincell="f" strokecolor="#FFFFFF" strokeweight="0.0599pt"/>
            </w:pict>
          </mc:Fallback>
        </mc:AlternateContent>
        <mc:AlternateContent>
          <mc:Choice Requires="wps">
            <w:drawing>
              <wp:anchor simplePos="0" relativeHeight="251657728" behindDoc="1" locked="0" layoutInCell="0" allowOverlap="1">
                <wp:simplePos x="0" y="0"/>
                <wp:positionH relativeFrom="column">
                  <wp:posOffset>5117465</wp:posOffset>
                </wp:positionH>
                <wp:positionV relativeFrom="paragraph">
                  <wp:posOffset>-1477645</wp:posOffset>
                </wp:positionV>
                <wp:extent cx="1019175" cy="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019175" cy="4763"/>
                        </a:xfrm>
                        <a:prstGeom prst="line">
                          <a:avLst/>
                        </a:prstGeom>
                        <a:solidFill>
                          <a:srgbClr val="FFFFFF"/>
                        </a:solidFill>
                        <a:ln w="762">
                          <a:solidFill>
                            <a:srgbClr val="FFFFFF"/>
                          </a:solidFill>
                          <a:miter lim="800000"/>
                          <a:headEnd/>
                          <a:tailEnd/>
                        </a:ln>
                      </wps:spPr>
                      <wps:bodyPr/>
                    </wps:wsp>
                  </a:graphicData>
                </a:graphic>
              </wp:anchor>
            </w:drawing>
          </mc:Choice>
          <mc:Fallback>
            <w:pict>
              <v:line id="Shape 43" o:spid="_x0000_s106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02.95pt,-116.3499pt" to="483.2pt,-116.3499pt" o:allowincell="f" strokecolor="#FFFFFF" strokeweight="0.06pt"/>
            </w:pict>
          </mc:Fallback>
        </mc:AlternateContent>
        <mc:AlternateContent>
          <mc:Choice Requires="wps">
            <w:drawing>
              <wp:anchor simplePos="0" relativeHeight="251657728" behindDoc="1" locked="0" layoutInCell="0" allowOverlap="1">
                <wp:simplePos x="0" y="0"/>
                <wp:positionH relativeFrom="column">
                  <wp:posOffset>170180</wp:posOffset>
                </wp:positionH>
                <wp:positionV relativeFrom="paragraph">
                  <wp:posOffset>-1263650</wp:posOffset>
                </wp:positionV>
                <wp:extent cx="3877310" cy="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877310" cy="4763"/>
                        </a:xfrm>
                        <a:prstGeom prst="line">
                          <a:avLst/>
                        </a:prstGeom>
                        <a:solidFill>
                          <a:srgbClr val="FFFFFF"/>
                        </a:solidFill>
                        <a:ln w="762">
                          <a:solidFill>
                            <a:srgbClr val="FFFFFF"/>
                          </a:solidFill>
                          <a:miter lim="800000"/>
                          <a:headEnd/>
                          <a:tailEnd/>
                        </a:ln>
                      </wps:spPr>
                      <wps:bodyPr/>
                    </wps:wsp>
                  </a:graphicData>
                </a:graphic>
              </wp:anchor>
            </w:drawing>
          </mc:Choice>
          <mc:Fallback>
            <w:pict>
              <v:line id="Shape 44" o:spid="_x0000_s106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4pt,-99.4999pt" to="318.7pt,-99.4999pt" o:allowincell="f" strokecolor="#FFFFFF" strokeweight="0.06pt"/>
            </w:pict>
          </mc:Fallback>
        </mc:AlternateContent>
        <mc:AlternateContent>
          <mc:Choice Requires="wps">
            <w:drawing>
              <wp:anchor simplePos="0" relativeHeight="251657728" behindDoc="1" locked="0" layoutInCell="0" allowOverlap="1">
                <wp:simplePos x="0" y="0"/>
                <wp:positionH relativeFrom="column">
                  <wp:posOffset>4045585</wp:posOffset>
                </wp:positionH>
                <wp:positionV relativeFrom="paragraph">
                  <wp:posOffset>-1274445</wp:posOffset>
                </wp:positionV>
                <wp:extent cx="12700" cy="1270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w:pict>
              <v:rect id="Shape 45" o:spid="_x0000_s1070" style="position:absolute;margin-left:318.55pt;margin-top:-100.3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mc:AlternateContent>
          <mc:Choice Requires="wps">
            <w:drawing>
              <wp:anchor simplePos="0" relativeHeight="251657728" behindDoc="1" locked="0" layoutInCell="0" allowOverlap="1">
                <wp:simplePos x="0" y="0"/>
                <wp:positionH relativeFrom="column">
                  <wp:posOffset>4056380</wp:posOffset>
                </wp:positionH>
                <wp:positionV relativeFrom="paragraph">
                  <wp:posOffset>-1263650</wp:posOffset>
                </wp:positionV>
                <wp:extent cx="1051560" cy="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051560" cy="4763"/>
                        </a:xfrm>
                        <a:prstGeom prst="line">
                          <a:avLst/>
                        </a:prstGeom>
                        <a:solidFill>
                          <a:srgbClr val="FFFFFF"/>
                        </a:solidFill>
                        <a:ln w="761">
                          <a:solidFill>
                            <a:srgbClr val="FFFFFF"/>
                          </a:solidFill>
                          <a:miter lim="800000"/>
                          <a:headEnd/>
                          <a:tailEnd/>
                        </a:ln>
                      </wps:spPr>
                      <wps:bodyPr/>
                    </wps:wsp>
                  </a:graphicData>
                </a:graphic>
              </wp:anchor>
            </w:drawing>
          </mc:Choice>
          <mc:Fallback>
            <w:pict>
              <v:line id="Shape 46" o:spid="_x0000_s107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9.4pt,-99.4999pt" to="402.2pt,-99.4999pt" o:allowincell="f" strokecolor="#FFFFFF" strokeweight="0.0599pt"/>
            </w:pict>
          </mc:Fallback>
        </mc:AlternateContent>
        <mc:AlternateContent>
          <mc:Choice Requires="wps">
            <w:drawing>
              <wp:anchor simplePos="0" relativeHeight="251657728" behindDoc="1" locked="0" layoutInCell="0" allowOverlap="1">
                <wp:simplePos x="0" y="0"/>
                <wp:positionH relativeFrom="column">
                  <wp:posOffset>5117465</wp:posOffset>
                </wp:positionH>
                <wp:positionV relativeFrom="paragraph">
                  <wp:posOffset>-1263650</wp:posOffset>
                </wp:positionV>
                <wp:extent cx="1019175" cy="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019175" cy="4763"/>
                        </a:xfrm>
                        <a:prstGeom prst="line">
                          <a:avLst/>
                        </a:prstGeom>
                        <a:solidFill>
                          <a:srgbClr val="FFFFFF"/>
                        </a:solidFill>
                        <a:ln w="762">
                          <a:solidFill>
                            <a:srgbClr val="FFFFFF"/>
                          </a:solidFill>
                          <a:miter lim="800000"/>
                          <a:headEnd/>
                          <a:tailEnd/>
                        </a:ln>
                      </wps:spPr>
                      <wps:bodyPr/>
                    </wps:wsp>
                  </a:graphicData>
                </a:graphic>
              </wp:anchor>
            </w:drawing>
          </mc:Choice>
          <mc:Fallback>
            <w:pict>
              <v:line id="Shape 47" o:spid="_x0000_s107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02.95pt,-99.4999pt" to="483.2pt,-99.4999pt" o:allowincell="f" strokecolor="#FFFFFF" strokeweight="0.06pt"/>
            </w:pict>
          </mc:Fallback>
        </mc:AlternateContent>
        <mc:AlternateContent>
          <mc:Choice Requires="wps">
            <w:drawing>
              <wp:anchor simplePos="0" relativeHeight="251657728" behindDoc="1" locked="0" layoutInCell="0" allowOverlap="1">
                <wp:simplePos x="0" y="0"/>
                <wp:positionH relativeFrom="column">
                  <wp:posOffset>170180</wp:posOffset>
                </wp:positionH>
                <wp:positionV relativeFrom="paragraph">
                  <wp:posOffset>-845185</wp:posOffset>
                </wp:positionV>
                <wp:extent cx="3877310" cy="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877310" cy="4763"/>
                        </a:xfrm>
                        <a:prstGeom prst="line">
                          <a:avLst/>
                        </a:prstGeom>
                        <a:solidFill>
                          <a:srgbClr val="FFFFFF"/>
                        </a:solidFill>
                        <a:ln w="761">
                          <a:solidFill>
                            <a:srgbClr val="FFFFFF"/>
                          </a:solidFill>
                          <a:miter lim="800000"/>
                          <a:headEnd/>
                          <a:tailEnd/>
                        </a:ln>
                      </wps:spPr>
                      <wps:bodyPr/>
                    </wps:wsp>
                  </a:graphicData>
                </a:graphic>
              </wp:anchor>
            </w:drawing>
          </mc:Choice>
          <mc:Fallback>
            <w:pict>
              <v:line id="Shape 48" o:spid="_x0000_s107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4pt,-66.5499pt" to="318.7pt,-66.5499pt" o:allowincell="f" strokecolor="#FFFFFF" strokeweight="0.0599pt"/>
            </w:pict>
          </mc:Fallback>
        </mc:AlternateContent>
        <mc:AlternateContent>
          <mc:Choice Requires="wps">
            <w:drawing>
              <wp:anchor simplePos="0" relativeHeight="251657728" behindDoc="1" locked="0" layoutInCell="0" allowOverlap="1">
                <wp:simplePos x="0" y="0"/>
                <wp:positionH relativeFrom="column">
                  <wp:posOffset>4045585</wp:posOffset>
                </wp:positionH>
                <wp:positionV relativeFrom="paragraph">
                  <wp:posOffset>-855980</wp:posOffset>
                </wp:positionV>
                <wp:extent cx="12700" cy="1270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w:pict>
              <v:rect id="Shape 49" o:spid="_x0000_s1074" style="position:absolute;margin-left:318.55pt;margin-top:-67.39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mc:AlternateContent>
          <mc:Choice Requires="wps">
            <w:drawing>
              <wp:anchor simplePos="0" relativeHeight="251657728" behindDoc="1" locked="0" layoutInCell="0" allowOverlap="1">
                <wp:simplePos x="0" y="0"/>
                <wp:positionH relativeFrom="column">
                  <wp:posOffset>4056380</wp:posOffset>
                </wp:positionH>
                <wp:positionV relativeFrom="paragraph">
                  <wp:posOffset>-845185</wp:posOffset>
                </wp:positionV>
                <wp:extent cx="1051560" cy="0"/>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051560" cy="4763"/>
                        </a:xfrm>
                        <a:prstGeom prst="line">
                          <a:avLst/>
                        </a:prstGeom>
                        <a:solidFill>
                          <a:srgbClr val="FFFFFF"/>
                        </a:solidFill>
                        <a:ln w="761">
                          <a:solidFill>
                            <a:srgbClr val="FFFFFF"/>
                          </a:solidFill>
                          <a:miter lim="800000"/>
                          <a:headEnd/>
                          <a:tailEnd/>
                        </a:ln>
                      </wps:spPr>
                      <wps:bodyPr/>
                    </wps:wsp>
                  </a:graphicData>
                </a:graphic>
              </wp:anchor>
            </w:drawing>
          </mc:Choice>
          <mc:Fallback>
            <w:pict>
              <v:line id="Shape 50" o:spid="_x0000_s107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9.4pt,-66.5499pt" to="402.2pt,-66.5499pt" o:allowincell="f" strokecolor="#FFFFFF" strokeweight="0.0599pt"/>
            </w:pict>
          </mc:Fallback>
        </mc:AlternateContent>
        <mc:AlternateContent>
          <mc:Choice Requires="wps">
            <w:drawing>
              <wp:anchor simplePos="0" relativeHeight="251657728" behindDoc="1" locked="0" layoutInCell="0" allowOverlap="1">
                <wp:simplePos x="0" y="0"/>
                <wp:positionH relativeFrom="column">
                  <wp:posOffset>5117465</wp:posOffset>
                </wp:positionH>
                <wp:positionV relativeFrom="paragraph">
                  <wp:posOffset>-845185</wp:posOffset>
                </wp:positionV>
                <wp:extent cx="1019175" cy="0"/>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019175" cy="4763"/>
                        </a:xfrm>
                        <a:prstGeom prst="line">
                          <a:avLst/>
                        </a:prstGeom>
                        <a:solidFill>
                          <a:srgbClr val="FFFFFF"/>
                        </a:solidFill>
                        <a:ln w="761">
                          <a:solidFill>
                            <a:srgbClr val="FFFFFF"/>
                          </a:solidFill>
                          <a:miter lim="800000"/>
                          <a:headEnd/>
                          <a:tailEnd/>
                        </a:ln>
                      </wps:spPr>
                      <wps:bodyPr/>
                    </wps:wsp>
                  </a:graphicData>
                </a:graphic>
              </wp:anchor>
            </w:drawing>
          </mc:Choice>
          <mc:Fallback>
            <w:pict>
              <v:line id="Shape 51" o:spid="_x0000_s107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02.95pt,-66.5499pt" to="483.2pt,-66.5499pt" o:allowincell="f" strokecolor="#FFFFFF" strokeweight="0.0599pt"/>
            </w:pict>
          </mc:Fallback>
        </mc:AlternateContent>
        <mc:AlternateContent>
          <mc:Choice Requires="wps">
            <w:drawing>
              <wp:anchor simplePos="0" relativeHeight="251657728" behindDoc="1" locked="0" layoutInCell="0" allowOverlap="1">
                <wp:simplePos x="0" y="0"/>
                <wp:positionH relativeFrom="column">
                  <wp:posOffset>170180</wp:posOffset>
                </wp:positionH>
                <wp:positionV relativeFrom="paragraph">
                  <wp:posOffset>-631190</wp:posOffset>
                </wp:positionV>
                <wp:extent cx="3877310" cy="0"/>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877310" cy="4763"/>
                        </a:xfrm>
                        <a:prstGeom prst="line">
                          <a:avLst/>
                        </a:prstGeom>
                        <a:solidFill>
                          <a:srgbClr val="FFFFFF"/>
                        </a:solidFill>
                        <a:ln w="761">
                          <a:solidFill>
                            <a:srgbClr val="FFFFFF"/>
                          </a:solidFill>
                          <a:miter lim="800000"/>
                          <a:headEnd/>
                          <a:tailEnd/>
                        </a:ln>
                      </wps:spPr>
                      <wps:bodyPr/>
                    </wps:wsp>
                  </a:graphicData>
                </a:graphic>
              </wp:anchor>
            </w:drawing>
          </mc:Choice>
          <mc:Fallback>
            <w:pict>
              <v:line id="Shape 52" o:spid="_x0000_s107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4pt,-49.6999pt" to="318.7pt,-49.6999pt" o:allowincell="f" strokecolor="#FFFFFF" strokeweight="0.0599pt"/>
            </w:pict>
          </mc:Fallback>
        </mc:AlternateContent>
        <mc:AlternateContent>
          <mc:Choice Requires="wps">
            <w:drawing>
              <wp:anchor simplePos="0" relativeHeight="251657728" behindDoc="1" locked="0" layoutInCell="0" allowOverlap="1">
                <wp:simplePos x="0" y="0"/>
                <wp:positionH relativeFrom="column">
                  <wp:posOffset>4045585</wp:posOffset>
                </wp:positionH>
                <wp:positionV relativeFrom="paragraph">
                  <wp:posOffset>-641985</wp:posOffset>
                </wp:positionV>
                <wp:extent cx="12700" cy="12700"/>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w:pict>
              <v:rect id="Shape 53" o:spid="_x0000_s1078" style="position:absolute;margin-left:318.55pt;margin-top:-50.5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mc:AlternateContent>
          <mc:Choice Requires="wps">
            <w:drawing>
              <wp:anchor simplePos="0" relativeHeight="251657728" behindDoc="1" locked="0" layoutInCell="0" allowOverlap="1">
                <wp:simplePos x="0" y="0"/>
                <wp:positionH relativeFrom="column">
                  <wp:posOffset>4056380</wp:posOffset>
                </wp:positionH>
                <wp:positionV relativeFrom="paragraph">
                  <wp:posOffset>-631190</wp:posOffset>
                </wp:positionV>
                <wp:extent cx="1051560" cy="0"/>
                <wp:wrapNone/>
                <wp:docPr id="54" name="Shape 5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051560" cy="4763"/>
                        </a:xfrm>
                        <a:prstGeom prst="line">
                          <a:avLst/>
                        </a:prstGeom>
                        <a:solidFill>
                          <a:srgbClr val="FFFFFF"/>
                        </a:solidFill>
                        <a:ln w="761">
                          <a:solidFill>
                            <a:srgbClr val="FFFFFF"/>
                          </a:solidFill>
                          <a:miter lim="800000"/>
                          <a:headEnd/>
                          <a:tailEnd/>
                        </a:ln>
                      </wps:spPr>
                      <wps:bodyPr/>
                    </wps:wsp>
                  </a:graphicData>
                </a:graphic>
              </wp:anchor>
            </w:drawing>
          </mc:Choice>
          <mc:Fallback>
            <w:pict>
              <v:line id="Shape 54" o:spid="_x0000_s107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9.4pt,-49.6999pt" to="402.2pt,-49.6999pt" o:allowincell="f" strokecolor="#FFFFFF" strokeweight="0.0599pt"/>
            </w:pict>
          </mc:Fallback>
        </mc:AlternateContent>
        <mc:AlternateContent>
          <mc:Choice Requires="wps">
            <w:drawing>
              <wp:anchor simplePos="0" relativeHeight="251657728" behindDoc="1" locked="0" layoutInCell="0" allowOverlap="1">
                <wp:simplePos x="0" y="0"/>
                <wp:positionH relativeFrom="column">
                  <wp:posOffset>5117465</wp:posOffset>
                </wp:positionH>
                <wp:positionV relativeFrom="paragraph">
                  <wp:posOffset>-631190</wp:posOffset>
                </wp:positionV>
                <wp:extent cx="1019175" cy="0"/>
                <wp:wrapNone/>
                <wp:docPr id="55" name="Shape 5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019175" cy="4763"/>
                        </a:xfrm>
                        <a:prstGeom prst="line">
                          <a:avLst/>
                        </a:prstGeom>
                        <a:solidFill>
                          <a:srgbClr val="FFFFFF"/>
                        </a:solidFill>
                        <a:ln w="761">
                          <a:solidFill>
                            <a:srgbClr val="FFFFFF"/>
                          </a:solidFill>
                          <a:miter lim="800000"/>
                          <a:headEnd/>
                          <a:tailEnd/>
                        </a:ln>
                      </wps:spPr>
                      <wps:bodyPr/>
                    </wps:wsp>
                  </a:graphicData>
                </a:graphic>
              </wp:anchor>
            </w:drawing>
          </mc:Choice>
          <mc:Fallback>
            <w:pict>
              <v:line id="Shape 55" o:spid="_x0000_s108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02.95pt,-49.6999pt" to="483.2pt,-49.6999pt" o:allowincell="f" strokecolor="#FFFFFF" strokeweight="0.0599pt"/>
            </w:pict>
          </mc:Fallback>
        </mc:AlternateContent>
        <mc:AlternateContent>
          <mc:Choice Requires="wps">
            <w:drawing>
              <wp:anchor simplePos="0" relativeHeight="251657728" behindDoc="1" locked="0" layoutInCell="0" allowOverlap="1">
                <wp:simplePos x="0" y="0"/>
                <wp:positionH relativeFrom="column">
                  <wp:posOffset>170180</wp:posOffset>
                </wp:positionH>
                <wp:positionV relativeFrom="paragraph">
                  <wp:posOffset>-212725</wp:posOffset>
                </wp:positionV>
                <wp:extent cx="3877310" cy="0"/>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877310" cy="4763"/>
                        </a:xfrm>
                        <a:prstGeom prst="line">
                          <a:avLst/>
                        </a:prstGeom>
                        <a:solidFill>
                          <a:srgbClr val="FFFFFF"/>
                        </a:solidFill>
                        <a:ln w="761">
                          <a:solidFill>
                            <a:srgbClr val="FFFFFF"/>
                          </a:solidFill>
                          <a:miter lim="800000"/>
                          <a:headEnd/>
                          <a:tailEnd/>
                        </a:ln>
                      </wps:spPr>
                      <wps:bodyPr/>
                    </wps:wsp>
                  </a:graphicData>
                </a:graphic>
              </wp:anchor>
            </w:drawing>
          </mc:Choice>
          <mc:Fallback>
            <w:pict>
              <v:line id="Shape 56" o:spid="_x0000_s108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4pt,-16.7499pt" to="318.7pt,-16.7499pt" o:allowincell="f" strokecolor="#FFFFFF" strokeweight="0.0599pt"/>
            </w:pict>
          </mc:Fallback>
        </mc:AlternateContent>
        <mc:AlternateContent>
          <mc:Choice Requires="wps">
            <w:drawing>
              <wp:anchor simplePos="0" relativeHeight="251657728" behindDoc="1" locked="0" layoutInCell="0" allowOverlap="1">
                <wp:simplePos x="0" y="0"/>
                <wp:positionH relativeFrom="column">
                  <wp:posOffset>4045585</wp:posOffset>
                </wp:positionH>
                <wp:positionV relativeFrom="paragraph">
                  <wp:posOffset>-223520</wp:posOffset>
                </wp:positionV>
                <wp:extent cx="12700" cy="12700"/>
                <wp:wrapNone/>
                <wp:docPr id="57" name="Shape 5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w:pict>
              <v:rect id="Shape 57" o:spid="_x0000_s1082" style="position:absolute;margin-left:318.55pt;margin-top:-17.59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mc:AlternateContent>
          <mc:Choice Requires="wps">
            <w:drawing>
              <wp:anchor simplePos="0" relativeHeight="251657728" behindDoc="1" locked="0" layoutInCell="0" allowOverlap="1">
                <wp:simplePos x="0" y="0"/>
                <wp:positionH relativeFrom="column">
                  <wp:posOffset>4056380</wp:posOffset>
                </wp:positionH>
                <wp:positionV relativeFrom="paragraph">
                  <wp:posOffset>-212725</wp:posOffset>
                </wp:positionV>
                <wp:extent cx="1051560" cy="0"/>
                <wp:wrapNone/>
                <wp:docPr id="58" name="Shape 5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051560" cy="4763"/>
                        </a:xfrm>
                        <a:prstGeom prst="line">
                          <a:avLst/>
                        </a:prstGeom>
                        <a:solidFill>
                          <a:srgbClr val="FFFFFF"/>
                        </a:solidFill>
                        <a:ln w="761">
                          <a:solidFill>
                            <a:srgbClr val="FFFFFF"/>
                          </a:solidFill>
                          <a:miter lim="800000"/>
                          <a:headEnd/>
                          <a:tailEnd/>
                        </a:ln>
                      </wps:spPr>
                      <wps:bodyPr/>
                    </wps:wsp>
                  </a:graphicData>
                </a:graphic>
              </wp:anchor>
            </w:drawing>
          </mc:Choice>
          <mc:Fallback>
            <w:pict>
              <v:line id="Shape 58" o:spid="_x0000_s108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9.4pt,-16.7499pt" to="402.2pt,-16.7499pt" o:allowincell="f" strokecolor="#FFFFFF" strokeweight="0.0599pt"/>
            </w:pict>
          </mc:Fallback>
        </mc:AlternateContent>
        <mc:AlternateContent>
          <mc:Choice Requires="wps">
            <w:drawing>
              <wp:anchor simplePos="0" relativeHeight="251657728" behindDoc="1" locked="0" layoutInCell="0" allowOverlap="1">
                <wp:simplePos x="0" y="0"/>
                <wp:positionH relativeFrom="column">
                  <wp:posOffset>5117465</wp:posOffset>
                </wp:positionH>
                <wp:positionV relativeFrom="paragraph">
                  <wp:posOffset>-212725</wp:posOffset>
                </wp:positionV>
                <wp:extent cx="1019175" cy="0"/>
                <wp:wrapNone/>
                <wp:docPr id="59" name="Shape 5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019175" cy="4763"/>
                        </a:xfrm>
                        <a:prstGeom prst="line">
                          <a:avLst/>
                        </a:prstGeom>
                        <a:solidFill>
                          <a:srgbClr val="FFFFFF"/>
                        </a:solidFill>
                        <a:ln w="761">
                          <a:solidFill>
                            <a:srgbClr val="FFFFFF"/>
                          </a:solidFill>
                          <a:miter lim="800000"/>
                          <a:headEnd/>
                          <a:tailEnd/>
                        </a:ln>
                      </wps:spPr>
                      <wps:bodyPr/>
                    </wps:wsp>
                  </a:graphicData>
                </a:graphic>
              </wp:anchor>
            </w:drawing>
          </mc:Choice>
          <mc:Fallback>
            <w:pict>
              <v:line id="Shape 59" o:spid="_x0000_s108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02.95pt,-16.7499pt" to="483.2pt,-16.7499pt" o:allowincell="f" strokecolor="#FFFFFF" strokeweight="0.0599pt"/>
            </w:pict>
          </mc:Fallback>
        </mc:AlternateContent>
        <mc:AlternateContent>
          <mc:Choice Requires="wps">
            <w:drawing>
              <wp:anchor simplePos="0" relativeHeight="251657728" behindDoc="1" locked="0" layoutInCell="0" allowOverlap="1">
                <wp:simplePos x="0" y="0"/>
                <wp:positionH relativeFrom="column">
                  <wp:posOffset>153670</wp:posOffset>
                </wp:positionH>
                <wp:positionV relativeFrom="paragraph">
                  <wp:posOffset>635</wp:posOffset>
                </wp:positionV>
                <wp:extent cx="5960745" cy="1636395"/>
                <wp:wrapNone/>
                <wp:docPr id="60" name="Shape 6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60745" cy="1636395"/>
                        </a:xfrm>
                        <a:prstGeom prst="rect">
                          <a:avLst/>
                        </a:prstGeom>
                        <a:solidFill>
                          <a:srgbClr val="FFFFFF"/>
                        </a:solidFill>
                      </wps:spPr>
                      <wps:bodyPr/>
                    </wps:wsp>
                  </a:graphicData>
                </a:graphic>
              </wp:anchor>
            </w:drawing>
          </mc:Choice>
          <mc:Fallback>
            <w:pict>
              <v:rect id="Shape 60" o:spid="_x0000_s1085" style="position:absolute;margin-left:12.1pt;margin-top:0.05pt;width:469.35pt;height:128.8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FFFFFF" stroked="f"/>
            </w:pict>
          </mc:Fallback>
        </mc:AlternateContent>
      </w:r>
    </w:p>
    <w:p>
      <w:pPr>
        <w:spacing w:after="0" w:line="282" w:lineRule="exact"/>
        <w:rPr>
          <w:sz w:val="20"/>
          <w:szCs w:val="20"/>
          <w:color w:val="auto"/>
        </w:rPr>
      </w:pPr>
    </w:p>
    <w:p>
      <w:pPr>
        <w:jc w:val="both"/>
        <w:ind w:left="280" w:right="80" w:firstLine="720"/>
        <w:spacing w:after="0" w:line="246" w:lineRule="auto"/>
        <w:rPr>
          <w:sz w:val="20"/>
          <w:szCs w:val="20"/>
          <w:color w:val="auto"/>
        </w:rPr>
      </w:pPr>
      <w:r>
        <w:rPr>
          <w:rFonts w:ascii="Times New Roman" w:cs="Times New Roman" w:eastAsia="Times New Roman" w:hAnsi="Times New Roman"/>
          <w:sz w:val="28"/>
          <w:szCs w:val="28"/>
          <w:color w:val="auto"/>
        </w:rPr>
        <w:t>Требуется найти коэффициент Z, указывающий, во сколько раз соотношение «Цена/Прибыль» для поглощаемой компании Y на конкурентных рынках «компаний-рейдеров» за отчетный год может быть - с точки зрения приемлемости этого предприятия в качестве кандидата на поглощение - меньше соотношения «Цена/Прибыль», характерного в этом году для поглощающей фирмы X.</w:t>
      </w:r>
    </w:p>
    <w:p>
      <w:pPr>
        <w:spacing w:after="0" w:line="273" w:lineRule="exact"/>
        <w:rPr>
          <w:sz w:val="20"/>
          <w:szCs w:val="20"/>
          <w:color w:val="auto"/>
        </w:rPr>
      </w:pPr>
    </w:p>
    <w:p>
      <w:pPr>
        <w:ind w:left="980"/>
        <w:spacing w:after="0"/>
        <w:rPr>
          <w:sz w:val="20"/>
          <w:szCs w:val="20"/>
          <w:color w:val="auto"/>
        </w:rPr>
      </w:pPr>
      <w:r>
        <w:rPr>
          <w:rFonts w:ascii="Times New Roman" w:cs="Times New Roman" w:eastAsia="Times New Roman" w:hAnsi="Times New Roman"/>
          <w:sz w:val="28"/>
          <w:szCs w:val="28"/>
          <w:u w:val="single" w:color="auto"/>
          <w:color w:val="auto"/>
        </w:rPr>
        <w:t>Решение.</w:t>
      </w:r>
    </w:p>
    <w:p>
      <w:pPr>
        <w:jc w:val="both"/>
        <w:ind w:left="260" w:right="80" w:firstLine="722"/>
        <w:spacing w:after="0" w:line="239" w:lineRule="auto"/>
        <w:tabs>
          <w:tab w:leader="none" w:pos="1664" w:val="left"/>
        </w:tabs>
        <w:numPr>
          <w:ilvl w:val="0"/>
          <w:numId w:val="12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критериальным (пороговым) условием целесообразности приобретения акций поглощаемой компании Y должно служить следующее: в расчете на одну акцию текущая остаточная стоимость прибылей поглощающей компании X, принимаемая за оценку их обоснованной рыночной стоимости, не должна быть меньше, чем текущая остаточная стоимость прибылей поглощаемой компании Y, принимаемая за оценку обоснованной рыночной стоимости акций этой фирмы;</w:t>
      </w:r>
    </w:p>
    <w:p>
      <w:pPr>
        <w:spacing w:after="0" w:line="9" w:lineRule="exact"/>
        <w:rPr>
          <w:rFonts w:ascii="Times New Roman" w:cs="Times New Roman" w:eastAsia="Times New Roman" w:hAnsi="Times New Roman"/>
          <w:sz w:val="28"/>
          <w:szCs w:val="28"/>
          <w:color w:val="auto"/>
        </w:rPr>
      </w:pPr>
    </w:p>
    <w:p>
      <w:pPr>
        <w:ind w:left="320" w:right="80" w:firstLine="723"/>
        <w:spacing w:after="0" w:line="271" w:lineRule="auto"/>
        <w:tabs>
          <w:tab w:leader="none" w:pos="1422" w:val="left"/>
        </w:tabs>
        <w:numPr>
          <w:ilvl w:val="1"/>
          <w:numId w:val="12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это означает, что если использовать модель Гордона, то должно выполняться равенство:</w:t>
      </w:r>
    </w:p>
    <w:p>
      <w:pPr>
        <w:spacing w:after="0" w:line="239" w:lineRule="exact"/>
        <w:rPr>
          <w:sz w:val="20"/>
          <w:szCs w:val="20"/>
          <w:color w:val="auto"/>
        </w:rPr>
      </w:pPr>
    </w:p>
    <w:p>
      <w:pPr>
        <w:jc w:val="center"/>
        <w:ind w:right="-179"/>
        <w:spacing w:after="0"/>
        <w:rPr>
          <w:sz w:val="20"/>
          <w:szCs w:val="20"/>
          <w:color w:val="auto"/>
        </w:rPr>
      </w:pPr>
      <w:r>
        <w:rPr>
          <w:rFonts w:ascii="Times New Roman" w:cs="Times New Roman" w:eastAsia="Times New Roman" w:hAnsi="Times New Roman"/>
          <w:sz w:val="28"/>
          <w:szCs w:val="28"/>
          <w:color w:val="auto"/>
        </w:rPr>
        <w:t>[1·(1+0,2)]/[1:8 – 0,02] = [1·(1+0,04)]/[W – 0,04]</w:t>
      </w:r>
    </w:p>
    <w:p>
      <w:pPr>
        <w:spacing w:after="0" w:line="322" w:lineRule="exact"/>
        <w:rPr>
          <w:sz w:val="20"/>
          <w:szCs w:val="20"/>
          <w:color w:val="auto"/>
        </w:rPr>
      </w:pPr>
    </w:p>
    <w:p>
      <w:pPr>
        <w:jc w:val="both"/>
        <w:ind w:left="260" w:right="80"/>
        <w:spacing w:after="0" w:line="239" w:lineRule="auto"/>
        <w:rPr>
          <w:sz w:val="20"/>
          <w:szCs w:val="20"/>
          <w:color w:val="auto"/>
        </w:rPr>
      </w:pPr>
      <w:r>
        <w:rPr>
          <w:rFonts w:ascii="Times New Roman" w:cs="Times New Roman" w:eastAsia="Times New Roman" w:hAnsi="Times New Roman"/>
          <w:sz w:val="28"/>
          <w:szCs w:val="28"/>
          <w:color w:val="auto"/>
        </w:rPr>
        <w:t xml:space="preserve">где 1:8- ставка дисконта по компании X, представляющая собой величину, обратную для этой компании коэффициенту «Цена/Прибыль»; W </w:t>
      </w:r>
      <w:r>
        <w:rPr>
          <w:rFonts w:ascii="Times New Roman" w:cs="Times New Roman" w:eastAsia="Times New Roman" w:hAnsi="Times New Roman"/>
          <w:sz w:val="28"/>
          <w:szCs w:val="28"/>
          <w:i w:val="1"/>
          <w:iCs w:val="1"/>
          <w:color w:val="auto"/>
        </w:rPr>
        <w:t>-</w:t>
      </w:r>
      <w:r>
        <w:rPr>
          <w:rFonts w:ascii="Times New Roman" w:cs="Times New Roman" w:eastAsia="Times New Roman" w:hAnsi="Times New Roman"/>
          <w:sz w:val="28"/>
          <w:szCs w:val="28"/>
          <w:color w:val="auto"/>
        </w:rPr>
        <w:t xml:space="preserve"> неизвестная искомая величина ставки дисконта по компании Y, обратная по отношению к коэффициенту «Цена/Прибыль» по компании Y, представленному в виде (8:1)/Z.</w:t>
      </w:r>
    </w:p>
    <w:p>
      <w:pPr>
        <w:spacing w:after="0" w:line="6" w:lineRule="exact"/>
        <w:rPr>
          <w:sz w:val="20"/>
          <w:szCs w:val="20"/>
          <w:color w:val="auto"/>
        </w:rPr>
      </w:pPr>
    </w:p>
    <w:p>
      <w:pPr>
        <w:ind w:left="320" w:right="80" w:firstLine="720"/>
        <w:spacing w:after="0"/>
        <w:rPr>
          <w:sz w:val="20"/>
          <w:szCs w:val="20"/>
          <w:color w:val="auto"/>
        </w:rPr>
      </w:pPr>
      <w:r>
        <w:rPr>
          <w:rFonts w:ascii="Times New Roman" w:cs="Times New Roman" w:eastAsia="Times New Roman" w:hAnsi="Times New Roman"/>
          <w:sz w:val="28"/>
          <w:szCs w:val="28"/>
          <w:color w:val="auto"/>
        </w:rPr>
        <w:t>Решение приведенного уравнения относительно неизвестной величины W дает значение искомой величины W, равное 0,147.</w:t>
      </w:r>
    </w:p>
    <w:p>
      <w:pPr>
        <w:jc w:val="both"/>
        <w:ind w:left="300" w:right="80" w:firstLine="725"/>
        <w:spacing w:after="0" w:line="269" w:lineRule="auto"/>
        <w:tabs>
          <w:tab w:leader="none" w:pos="1295" w:val="left"/>
        </w:tabs>
        <w:numPr>
          <w:ilvl w:val="0"/>
          <w:numId w:val="126"/>
        </w:numPr>
        <w:rPr>
          <w:rFonts w:ascii="Times New Roman" w:cs="Times New Roman" w:eastAsia="Times New Roman" w:hAnsi="Times New Roman"/>
          <w:sz w:val="27"/>
          <w:szCs w:val="27"/>
          <w:color w:val="auto"/>
        </w:rPr>
      </w:pPr>
      <w:r>
        <w:rPr>
          <w:rFonts w:ascii="Times New Roman" w:cs="Times New Roman" w:eastAsia="Times New Roman" w:hAnsi="Times New Roman"/>
          <w:sz w:val="27"/>
          <w:szCs w:val="27"/>
          <w:color w:val="auto"/>
        </w:rPr>
        <w:t>свою очередь, это означает, что предельно допустимый коэффициент «Цена/Прибыль» для поглощаемой компании Y, при котором все же оказывается целесообразным ее поглощать (так, чтобы чистая текущая</w:t>
      </w:r>
    </w:p>
    <w:p>
      <w:pPr>
        <w:sectPr>
          <w:pgSz w:w="11900" w:h="16840" w:orient="portrait"/>
          <w:cols w:equalWidth="0" w:num="1">
            <w:col w:w="9680"/>
          </w:cols>
          <w:pgMar w:left="1440" w:top="1112" w:right="784" w:bottom="16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96" w:lineRule="exact"/>
        <w:rPr>
          <w:sz w:val="20"/>
          <w:szCs w:val="20"/>
          <w:color w:val="auto"/>
        </w:rPr>
      </w:pPr>
    </w:p>
    <w:p>
      <w:pPr>
        <w:ind w:left="9380"/>
        <w:spacing w:after="0"/>
        <w:rPr>
          <w:sz w:val="20"/>
          <w:szCs w:val="20"/>
          <w:color w:val="auto"/>
        </w:rPr>
      </w:pPr>
      <w:r>
        <w:rPr>
          <w:rFonts w:ascii="Times New Roman" w:cs="Times New Roman" w:eastAsia="Times New Roman" w:hAnsi="Times New Roman"/>
          <w:sz w:val="24"/>
          <w:szCs w:val="24"/>
          <w:color w:val="auto"/>
        </w:rPr>
        <w:t>61</w:t>
      </w:r>
    </w:p>
    <w:p>
      <w:pPr>
        <w:sectPr>
          <w:pgSz w:w="11900" w:h="16840" w:orient="portrait"/>
          <w:cols w:equalWidth="0" w:num="1">
            <w:col w:w="9680"/>
          </w:cols>
          <w:pgMar w:left="1440" w:top="1112" w:right="784" w:bottom="163" w:gutter="0" w:footer="0" w:header="0"/>
          <w:type w:val="continuous"/>
        </w:sectPr>
      </w:pPr>
    </w:p>
    <w:p>
      <w:pPr>
        <w:jc w:val="both"/>
        <w:ind w:left="300" w:right="20"/>
        <w:spacing w:after="0"/>
        <w:rPr>
          <w:sz w:val="20"/>
          <w:szCs w:val="20"/>
          <w:color w:val="auto"/>
        </w:rPr>
      </w:pPr>
      <w:r>
        <w:rPr>
          <w:rFonts w:ascii="Times New Roman" w:cs="Times New Roman" w:eastAsia="Times New Roman" w:hAnsi="Times New Roman"/>
          <w:sz w:val="28"/>
          <w:szCs w:val="28"/>
          <w:color w:val="auto"/>
        </w:rPr>
        <w:t>стоимость инвестиционного проекта по поглощению была хотя бы равна нулю), составляет 1 : 0,147=6,80.</w:t>
      </w:r>
    </w:p>
    <w:p>
      <w:pPr>
        <w:jc w:val="both"/>
        <w:ind w:left="300" w:right="20" w:firstLine="720"/>
        <w:spacing w:after="0" w:line="250" w:lineRule="auto"/>
        <w:rPr>
          <w:sz w:val="20"/>
          <w:szCs w:val="20"/>
          <w:color w:val="auto"/>
        </w:rPr>
      </w:pPr>
      <w:r>
        <w:rPr>
          <w:rFonts w:ascii="Times New Roman" w:cs="Times New Roman" w:eastAsia="Times New Roman" w:hAnsi="Times New Roman"/>
          <w:sz w:val="28"/>
          <w:szCs w:val="28"/>
          <w:color w:val="auto"/>
        </w:rPr>
        <w:t>Значит, отношение Z, показывающее, во сколько раз коэффициент «Цена/Прибыль» по поглощаемой компании Y может быть в предельном случае меньше, чем этот коэффициент по поглощающей компании X, оказывается равным 6,80 : 8 = 0,85.</w:t>
      </w:r>
    </w:p>
    <w:p>
      <w:pPr>
        <w:spacing w:after="0" w:line="268" w:lineRule="exact"/>
        <w:rPr>
          <w:sz w:val="20"/>
          <w:szCs w:val="20"/>
          <w:color w:val="auto"/>
        </w:rPr>
      </w:pPr>
    </w:p>
    <w:p>
      <w:pPr>
        <w:jc w:val="both"/>
        <w:ind w:left="260" w:firstLine="709"/>
        <w:spacing w:after="0" w:line="239" w:lineRule="auto"/>
        <w:rPr>
          <w:sz w:val="20"/>
          <w:szCs w:val="20"/>
          <w:color w:val="auto"/>
        </w:rPr>
      </w:pPr>
      <w:r>
        <w:rPr>
          <w:rFonts w:ascii="Times New Roman" w:cs="Times New Roman" w:eastAsia="Times New Roman" w:hAnsi="Times New Roman"/>
          <w:sz w:val="28"/>
          <w:szCs w:val="28"/>
          <w:u w:val="single" w:color="auto"/>
          <w:color w:val="auto"/>
        </w:rPr>
        <w:t>Задача</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u w:val="single" w:color="auto"/>
          <w:color w:val="auto"/>
        </w:rPr>
        <w:t>8.5.</w:t>
      </w:r>
      <w:r>
        <w:rPr>
          <w:rFonts w:ascii="Times New Roman" w:cs="Times New Roman" w:eastAsia="Times New Roman" w:hAnsi="Times New Roman"/>
          <w:sz w:val="28"/>
          <w:szCs w:val="28"/>
          <w:color w:val="auto"/>
        </w:rPr>
        <w:t xml:space="preserve"> Каким должно быть обоснованное соотношение Н обмена акциями при слиянии компании А с компанией В, если известно, что обоснованная рыночная (оценочная) стоимость закрытой компании А равна 100 000 000 руб., а рыночная стоимость одной ликвидной акции открытой компании В составляет 15 руб. Общее количество акций компании В - 1 млн. Компанией выкуплено с рынка и выведено из обращения ( не предлагается к продаже) 100 000 акций; выпущено, но не размещено на фондовом рынке</w:t>
      </w:r>
    </w:p>
    <w:p>
      <w:pPr>
        <w:spacing w:after="0" w:line="9" w:lineRule="exact"/>
        <w:rPr>
          <w:sz w:val="20"/>
          <w:szCs w:val="20"/>
          <w:color w:val="auto"/>
        </w:rPr>
      </w:pPr>
    </w:p>
    <w:p>
      <w:pPr>
        <w:ind w:left="620" w:hanging="358"/>
        <w:spacing w:after="0"/>
        <w:tabs>
          <w:tab w:leader="none" w:pos="620" w:val="left"/>
        </w:tabs>
        <w:numPr>
          <w:ilvl w:val="0"/>
          <w:numId w:val="12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000 акций.</w:t>
      </w:r>
    </w:p>
    <w:p>
      <w:pPr>
        <w:spacing w:after="0" w:line="322" w:lineRule="exact"/>
        <w:rPr>
          <w:sz w:val="20"/>
          <w:szCs w:val="20"/>
          <w:color w:val="auto"/>
        </w:rPr>
      </w:pPr>
    </w:p>
    <w:p>
      <w:pPr>
        <w:ind w:left="980"/>
        <w:spacing w:after="0"/>
        <w:rPr>
          <w:sz w:val="20"/>
          <w:szCs w:val="20"/>
          <w:color w:val="auto"/>
        </w:rPr>
      </w:pPr>
      <w:r>
        <w:rPr>
          <w:rFonts w:ascii="Times New Roman" w:cs="Times New Roman" w:eastAsia="Times New Roman" w:hAnsi="Times New Roman"/>
          <w:sz w:val="28"/>
          <w:szCs w:val="28"/>
          <w:u w:val="single" w:color="auto"/>
          <w:color w:val="auto"/>
        </w:rPr>
        <w:t>Решение.</w:t>
      </w:r>
    </w:p>
    <w:p>
      <w:pPr>
        <w:jc w:val="both"/>
        <w:ind w:left="260" w:firstLine="709"/>
        <w:spacing w:after="0" w:line="250" w:lineRule="auto"/>
        <w:rPr>
          <w:sz w:val="20"/>
          <w:szCs w:val="20"/>
          <w:color w:val="auto"/>
        </w:rPr>
      </w:pPr>
      <w:r>
        <w:rPr>
          <w:rFonts w:ascii="Times New Roman" w:cs="Times New Roman" w:eastAsia="Times New Roman" w:hAnsi="Times New Roman"/>
          <w:sz w:val="28"/>
          <w:szCs w:val="28"/>
          <w:color w:val="auto"/>
        </w:rPr>
        <w:t>Рыночная стоимость открытой компании В равна произведению наблюдаемой по фактическим сделкам рыночной стоимости одной ее акции на количество акций этой компании, находящихся в обращении (учитываемых рынком):</w:t>
      </w:r>
    </w:p>
    <w:p>
      <w:pPr>
        <w:spacing w:after="0" w:line="269" w:lineRule="exact"/>
        <w:rPr>
          <w:sz w:val="20"/>
          <w:szCs w:val="20"/>
          <w:color w:val="auto"/>
        </w:rPr>
      </w:pPr>
    </w:p>
    <w:p>
      <w:pPr>
        <w:ind w:left="1240"/>
        <w:spacing w:after="0"/>
        <w:rPr>
          <w:sz w:val="20"/>
          <w:szCs w:val="20"/>
          <w:color w:val="auto"/>
        </w:rPr>
      </w:pPr>
      <w:r>
        <w:rPr>
          <w:rFonts w:ascii="Times New Roman" w:cs="Times New Roman" w:eastAsia="Times New Roman" w:hAnsi="Times New Roman"/>
          <w:sz w:val="28"/>
          <w:szCs w:val="28"/>
          <w:color w:val="auto"/>
        </w:rPr>
        <w:t>15 руб. · (1 000 000 - 100 000 - 50 000) акций = 12 750 000 руб.</w:t>
      </w:r>
    </w:p>
    <w:p>
      <w:pPr>
        <w:spacing w:after="0" w:line="321" w:lineRule="exact"/>
        <w:rPr>
          <w:sz w:val="20"/>
          <w:szCs w:val="20"/>
          <w:color w:val="auto"/>
        </w:rPr>
      </w:pPr>
    </w:p>
    <w:p>
      <w:pPr>
        <w:jc w:val="both"/>
        <w:ind w:left="260" w:firstLine="709"/>
        <w:spacing w:after="0" w:line="271" w:lineRule="auto"/>
        <w:rPr>
          <w:sz w:val="20"/>
          <w:szCs w:val="20"/>
          <w:color w:val="auto"/>
        </w:rPr>
      </w:pPr>
      <w:r>
        <w:rPr>
          <w:rFonts w:ascii="Times New Roman" w:cs="Times New Roman" w:eastAsia="Times New Roman" w:hAnsi="Times New Roman"/>
          <w:sz w:val="28"/>
          <w:szCs w:val="28"/>
          <w:color w:val="auto"/>
        </w:rPr>
        <w:t>Обоснованное соотношение обмена акций компании А на акции компании В тогда равно:</w:t>
      </w:r>
    </w:p>
    <w:p>
      <w:pPr>
        <w:spacing w:after="0" w:line="239" w:lineRule="exact"/>
        <w:rPr>
          <w:sz w:val="20"/>
          <w:szCs w:val="20"/>
          <w:color w:val="auto"/>
        </w:rPr>
      </w:pPr>
    </w:p>
    <w:p>
      <w:pPr>
        <w:ind w:left="1740" w:hanging="262"/>
        <w:spacing w:after="0"/>
        <w:tabs>
          <w:tab w:leader="none" w:pos="1740" w:val="left"/>
        </w:tabs>
        <w:numPr>
          <w:ilvl w:val="0"/>
          <w:numId w:val="12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(Стоимость компании А) : (Стоимость компании В) =</w:t>
      </w:r>
    </w:p>
    <w:p>
      <w:pPr>
        <w:ind w:left="2560" w:hanging="236"/>
        <w:spacing w:after="0"/>
        <w:tabs>
          <w:tab w:leader="none" w:pos="2560" w:val="left"/>
        </w:tabs>
        <w:numPr>
          <w:ilvl w:val="1"/>
          <w:numId w:val="12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100 000 000 руб. : 12 750 000 руб. = 7,843.</w:t>
      </w:r>
    </w:p>
    <w:p>
      <w:pPr>
        <w:spacing w:after="0" w:line="321" w:lineRule="exact"/>
        <w:rPr>
          <w:sz w:val="20"/>
          <w:szCs w:val="20"/>
          <w:color w:val="auto"/>
        </w:rPr>
      </w:pPr>
    </w:p>
    <w:p>
      <w:pPr>
        <w:jc w:val="both"/>
        <w:ind w:left="260" w:firstLine="709"/>
        <w:spacing w:after="0"/>
        <w:rPr>
          <w:sz w:val="20"/>
          <w:szCs w:val="20"/>
          <w:color w:val="auto"/>
        </w:rPr>
      </w:pPr>
      <w:r>
        <w:rPr>
          <w:rFonts w:ascii="Times New Roman" w:cs="Times New Roman" w:eastAsia="Times New Roman" w:hAnsi="Times New Roman"/>
          <w:sz w:val="28"/>
          <w:szCs w:val="28"/>
          <w:u w:val="single" w:color="auto"/>
          <w:color w:val="auto"/>
        </w:rPr>
        <w:t>Задача</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u w:val="single" w:color="auto"/>
          <w:color w:val="auto"/>
        </w:rPr>
        <w:t>8.6.</w:t>
      </w:r>
      <w:r>
        <w:rPr>
          <w:rFonts w:ascii="Times New Roman" w:cs="Times New Roman" w:eastAsia="Times New Roman" w:hAnsi="Times New Roman"/>
          <w:sz w:val="28"/>
          <w:szCs w:val="28"/>
          <w:color w:val="auto"/>
        </w:rPr>
        <w:t xml:space="preserve"> Какой из двух предложенных ниже вариантов финансового оздоровления и повышения стоимости предприятия более предпочтителен с точки зрения ликвидации угрозы банкротства? Коэффициент текущей ликвидности предприятия равен 0,7. Краткосрочная задолженность фирмы составляет 500 000 руб. и не меняется со временем в обоих вариантах.</w:t>
      </w:r>
    </w:p>
    <w:p>
      <w:pPr>
        <w:spacing w:after="0" w:line="1" w:lineRule="exact"/>
        <w:rPr>
          <w:sz w:val="20"/>
          <w:szCs w:val="20"/>
          <w:color w:val="auto"/>
        </w:rPr>
      </w:pPr>
    </w:p>
    <w:p>
      <w:pPr>
        <w:jc w:val="both"/>
        <w:ind w:left="260" w:firstLine="709"/>
        <w:spacing w:after="0" w:line="239" w:lineRule="auto"/>
        <w:rPr>
          <w:sz w:val="20"/>
          <w:szCs w:val="20"/>
          <w:color w:val="auto"/>
        </w:rPr>
      </w:pPr>
      <w:r>
        <w:rPr>
          <w:rFonts w:ascii="Times New Roman" w:cs="Times New Roman" w:eastAsia="Times New Roman" w:hAnsi="Times New Roman"/>
          <w:sz w:val="28"/>
          <w:szCs w:val="28"/>
          <w:color w:val="auto"/>
        </w:rPr>
        <w:t>Вариант 1. Продажа недвижимости и оборудования с вероятной выручкой от этого на сумму в 600 000 руб.</w:t>
      </w:r>
    </w:p>
    <w:p>
      <w:pPr>
        <w:spacing w:after="0" w:line="2" w:lineRule="exact"/>
        <w:rPr>
          <w:sz w:val="20"/>
          <w:szCs w:val="20"/>
          <w:color w:val="auto"/>
        </w:rPr>
      </w:pPr>
    </w:p>
    <w:p>
      <w:pPr>
        <w:jc w:val="both"/>
        <w:ind w:left="260" w:firstLine="709"/>
        <w:spacing w:after="0" w:line="247" w:lineRule="auto"/>
        <w:rPr>
          <w:sz w:val="20"/>
          <w:szCs w:val="20"/>
          <w:color w:val="auto"/>
        </w:rPr>
      </w:pPr>
      <w:r>
        <w:rPr>
          <w:rFonts w:ascii="Times New Roman" w:cs="Times New Roman" w:eastAsia="Times New Roman" w:hAnsi="Times New Roman"/>
          <w:sz w:val="28"/>
          <w:szCs w:val="28"/>
          <w:color w:val="auto"/>
        </w:rPr>
        <w:t>Вариант 2. В течение того же времени освоение новой имеющей спрос продукции и получение от продаж чистой прибыли в 400 000 руб. При этом необходимые для освоения указанной продукции инвестиции равны 200 000 руб. и финансируются из выручки от продажи избыточных для выпуска данной продукции недвижимости и оборудования.</w:t>
      </w:r>
    </w:p>
    <w:p>
      <w:pPr>
        <w:sectPr>
          <w:pgSz w:w="11900" w:h="16840" w:orient="portrait"/>
          <w:cols w:equalWidth="0" w:num="1">
            <w:col w:w="9620"/>
          </w:cols>
          <w:pgMar w:left="1440" w:top="1112" w:right="844" w:bottom="16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ind w:left="9380"/>
        <w:spacing w:after="0"/>
        <w:rPr>
          <w:sz w:val="20"/>
          <w:szCs w:val="20"/>
          <w:color w:val="auto"/>
        </w:rPr>
      </w:pPr>
      <w:r>
        <w:rPr>
          <w:rFonts w:ascii="Times New Roman" w:cs="Times New Roman" w:eastAsia="Times New Roman" w:hAnsi="Times New Roman"/>
          <w:sz w:val="24"/>
          <w:szCs w:val="24"/>
          <w:color w:val="auto"/>
        </w:rPr>
        <w:t>62</w:t>
      </w:r>
    </w:p>
    <w:p>
      <w:pPr>
        <w:sectPr>
          <w:pgSz w:w="11900" w:h="16840" w:orient="portrait"/>
          <w:cols w:equalWidth="0" w:num="1">
            <w:col w:w="9620"/>
          </w:cols>
          <w:pgMar w:left="1440" w:top="1112" w:right="844" w:bottom="163" w:gutter="0" w:footer="0" w:header="0"/>
          <w:type w:val="continuous"/>
        </w:sectPr>
      </w:pPr>
    </w:p>
    <w:p>
      <w:pPr>
        <w:ind w:left="980"/>
        <w:spacing w:after="0"/>
        <w:rPr>
          <w:sz w:val="20"/>
          <w:szCs w:val="20"/>
          <w:color w:val="auto"/>
        </w:rPr>
      </w:pPr>
      <w:r>
        <w:rPr>
          <w:rFonts w:ascii="Times New Roman" w:cs="Times New Roman" w:eastAsia="Times New Roman" w:hAnsi="Times New Roman"/>
          <w:sz w:val="28"/>
          <w:szCs w:val="28"/>
          <w:u w:val="single" w:color="auto"/>
          <w:color w:val="auto"/>
        </w:rPr>
        <w:t>Решение.</w:t>
      </w:r>
    </w:p>
    <w:p>
      <w:pPr>
        <w:jc w:val="both"/>
        <w:ind w:left="260" w:right="40" w:firstLine="709"/>
        <w:spacing w:after="0"/>
        <w:rPr>
          <w:sz w:val="20"/>
          <w:szCs w:val="20"/>
          <w:color w:val="auto"/>
        </w:rPr>
      </w:pPr>
      <w:r>
        <w:rPr>
          <w:rFonts w:ascii="Times New Roman" w:cs="Times New Roman" w:eastAsia="Times New Roman" w:hAnsi="Times New Roman"/>
          <w:sz w:val="28"/>
          <w:szCs w:val="28"/>
          <w:color w:val="auto"/>
        </w:rPr>
        <w:t>Оба варианта позволяют пополнить собственные оборотные средства предприятия.</w:t>
      </w:r>
    </w:p>
    <w:p>
      <w:pPr>
        <w:jc w:val="both"/>
        <w:ind w:left="260" w:right="40" w:firstLine="709"/>
        <w:spacing w:after="0"/>
        <w:rPr>
          <w:sz w:val="20"/>
          <w:szCs w:val="20"/>
          <w:color w:val="auto"/>
        </w:rPr>
      </w:pPr>
      <w:r>
        <w:rPr>
          <w:rFonts w:ascii="Times New Roman" w:cs="Times New Roman" w:eastAsia="Times New Roman" w:hAnsi="Times New Roman"/>
          <w:sz w:val="28"/>
          <w:szCs w:val="28"/>
          <w:color w:val="auto"/>
        </w:rPr>
        <w:t>Вариант 1 обещает увеличение собственных оборотных средств на 600 000 руб., что повысит коэффициент текущей ликвидности (КТЛ - отношение оборотных средств к краткосрочной задолженности) на 1,2 (600 000 руб . : 500 000 руб.), доведя его до уровня 1,9 (0,7 + 1,2). Однако эта величина, с точки зрения Федеральной службы России по финансовому оздоровлению и банкротству, все равно недостаточна (меньше 2) и, значит, не позволяет только на основе суждения об уровне КТЛ делать вывод об избежании угрозы банкротства . Коэффициент восстановления платежеспособности предприятия в ближайшем будущем (вследствие появления у него потока новых регулярных прибылей) в данном варианте не увеличивается.</w:t>
      </w:r>
    </w:p>
    <w:p>
      <w:pPr>
        <w:spacing w:after="0" w:line="321" w:lineRule="exact"/>
        <w:rPr>
          <w:sz w:val="20"/>
          <w:szCs w:val="20"/>
          <w:color w:val="auto"/>
        </w:rPr>
      </w:pPr>
    </w:p>
    <w:p>
      <w:pPr>
        <w:jc w:val="both"/>
        <w:ind w:left="260" w:right="40" w:firstLine="709"/>
        <w:spacing w:after="0"/>
        <w:rPr>
          <w:sz w:val="20"/>
          <w:szCs w:val="20"/>
          <w:color w:val="auto"/>
        </w:rPr>
      </w:pPr>
      <w:r>
        <w:rPr>
          <w:rFonts w:ascii="Times New Roman" w:cs="Times New Roman" w:eastAsia="Times New Roman" w:hAnsi="Times New Roman"/>
          <w:sz w:val="28"/>
          <w:szCs w:val="28"/>
          <w:color w:val="auto"/>
        </w:rPr>
        <w:t>Вариант 2 позволяет увеличить коэффициент текущей ликвидности предприятия за счет капитализации дополнительной чистой прибыли всего лишь на 0,8 (400 000 руб. : 500 000 руб.), доведя его только до значения 1,5 (это меньше 1,9 в варианте 1). Однако появление в этом варианте потока сравнительно значительных регулярных дополнительных будущих прибылей повышает коэффициент восстановления платежеспособности предприятия и позволяет рассчитывать на то, что арбитражный суд не вынесет постановления о признании фирмы банкротом.</w:t>
      </w:r>
    </w:p>
    <w:p>
      <w:pPr>
        <w:spacing w:after="0" w:line="1" w:lineRule="exact"/>
        <w:rPr>
          <w:sz w:val="20"/>
          <w:szCs w:val="20"/>
          <w:color w:val="auto"/>
        </w:rPr>
      </w:pPr>
    </w:p>
    <w:p>
      <w:pPr>
        <w:ind w:left="980"/>
        <w:spacing w:after="0"/>
        <w:rPr>
          <w:sz w:val="20"/>
          <w:szCs w:val="20"/>
          <w:color w:val="auto"/>
        </w:rPr>
      </w:pPr>
      <w:r>
        <w:rPr>
          <w:rFonts w:ascii="Times New Roman" w:cs="Times New Roman" w:eastAsia="Times New Roman" w:hAnsi="Times New Roman"/>
          <w:sz w:val="28"/>
          <w:szCs w:val="28"/>
          <w:color w:val="auto"/>
        </w:rPr>
        <w:t>Следовательно, более предпочтителен вариант 2.</w:t>
      </w:r>
    </w:p>
    <w:p>
      <w:pPr>
        <w:spacing w:after="0" w:line="321" w:lineRule="exact"/>
        <w:rPr>
          <w:sz w:val="20"/>
          <w:szCs w:val="20"/>
          <w:color w:val="auto"/>
        </w:rPr>
      </w:pPr>
    </w:p>
    <w:p>
      <w:pPr>
        <w:ind w:left="1780"/>
        <w:spacing w:after="0"/>
        <w:rPr>
          <w:sz w:val="20"/>
          <w:szCs w:val="20"/>
          <w:color w:val="auto"/>
        </w:rPr>
      </w:pPr>
      <w:r>
        <w:rPr>
          <w:rFonts w:ascii="Times New Roman" w:cs="Times New Roman" w:eastAsia="Times New Roman" w:hAnsi="Times New Roman"/>
          <w:sz w:val="28"/>
          <w:szCs w:val="28"/>
          <w:color w:val="auto"/>
        </w:rPr>
        <w:t>ЗАДАЧИ ДЛЯ САМОСТОЯТЕЛЬНОГО РЕШЕНИЯ</w:t>
      </w:r>
    </w:p>
    <w:p>
      <w:pPr>
        <w:spacing w:after="0" w:line="322" w:lineRule="exact"/>
        <w:rPr>
          <w:sz w:val="20"/>
          <w:szCs w:val="20"/>
          <w:color w:val="auto"/>
        </w:rPr>
      </w:pPr>
    </w:p>
    <w:p>
      <w:pPr>
        <w:jc w:val="both"/>
        <w:ind w:left="280" w:right="40" w:firstLine="702"/>
        <w:spacing w:after="0" w:line="255" w:lineRule="auto"/>
        <w:tabs>
          <w:tab w:leader="none" w:pos="1362" w:val="left"/>
        </w:tabs>
        <w:numPr>
          <w:ilvl w:val="0"/>
          <w:numId w:val="12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 каком предельно низком соотношении «Цена/Прибыль» для поглощаемой фирмы Y менеджерам предприятия X останется целесообразным поглощать компанию Y, если:</w:t>
      </w:r>
    </w:p>
    <w:p>
      <w:pPr>
        <w:spacing w:after="0" w:line="257" w:lineRule="exact"/>
        <w:rPr>
          <w:sz w:val="20"/>
          <w:szCs w:val="20"/>
          <w:color w:val="auto"/>
        </w:rPr>
      </w:pPr>
    </w:p>
    <w:tbl>
      <w:tblPr>
        <w:tblLayout w:type="fixed"/>
        <w:tblInd w:w="270" w:type="dxa"/>
        <w:tblCellMar>
          <w:top w:w="0" w:type="dxa"/>
          <w:left w:w="0" w:type="dxa"/>
          <w:bottom w:w="0" w:type="dxa"/>
          <w:right w:w="0" w:type="dxa"/>
        </w:tblCellMar>
      </w:tblPr>
      <w:tr>
        <w:trPr>
          <w:trHeight w:val="343"/>
        </w:trPr>
        <w:tc>
          <w:tcPr>
            <w:tcW w:w="6140" w:type="dxa"/>
            <w:vAlign w:val="bottom"/>
            <w:tcBorders>
              <w:top w:val="single" w:sz="8" w:color="auto"/>
              <w:left w:val="single" w:sz="8" w:color="auto"/>
              <w:bottom w:val="single" w:sz="8" w:color="auto"/>
              <w:right w:val="single" w:sz="8" w:color="auto"/>
            </w:tcBorders>
          </w:tcPr>
          <w:p>
            <w:pPr>
              <w:ind w:left="1720"/>
              <w:spacing w:after="0"/>
              <w:rPr>
                <w:sz w:val="20"/>
                <w:szCs w:val="20"/>
                <w:color w:val="auto"/>
              </w:rPr>
            </w:pPr>
            <w:r>
              <w:rPr>
                <w:rFonts w:ascii="Times New Roman" w:cs="Times New Roman" w:eastAsia="Times New Roman" w:hAnsi="Times New Roman"/>
                <w:sz w:val="28"/>
                <w:szCs w:val="28"/>
                <w:color w:val="auto"/>
              </w:rPr>
              <w:t>Показатели компаний</w:t>
            </w:r>
          </w:p>
        </w:tc>
        <w:tc>
          <w:tcPr>
            <w:tcW w:w="1620" w:type="dxa"/>
            <w:vAlign w:val="bottom"/>
            <w:tcBorders>
              <w:top w:val="single" w:sz="8" w:color="auto"/>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8"/>
                <w:szCs w:val="28"/>
                <w:color w:val="auto"/>
                <w:w w:val="98"/>
              </w:rPr>
              <w:t>Компания X</w:t>
            </w:r>
          </w:p>
        </w:tc>
        <w:tc>
          <w:tcPr>
            <w:tcW w:w="1640" w:type="dxa"/>
            <w:vAlign w:val="bottom"/>
            <w:tcBorders>
              <w:top w:val="single" w:sz="8" w:color="auto"/>
              <w:bottom w:val="single" w:sz="8" w:color="auto"/>
              <w:right w:val="single" w:sz="8" w:color="auto"/>
            </w:tcBorders>
          </w:tcPr>
          <w:p>
            <w:pPr>
              <w:ind w:left="60"/>
              <w:spacing w:after="0"/>
              <w:rPr>
                <w:sz w:val="20"/>
                <w:szCs w:val="20"/>
                <w:color w:val="auto"/>
              </w:rPr>
            </w:pPr>
            <w:r>
              <w:rPr>
                <w:rFonts w:ascii="Times New Roman" w:cs="Times New Roman" w:eastAsia="Times New Roman" w:hAnsi="Times New Roman"/>
                <w:sz w:val="28"/>
                <w:szCs w:val="28"/>
                <w:color w:val="auto"/>
              </w:rPr>
              <w:t>Компания Y</w:t>
            </w:r>
          </w:p>
        </w:tc>
        <w:tc>
          <w:tcPr>
            <w:tcW w:w="0" w:type="dxa"/>
            <w:vAlign w:val="bottom"/>
          </w:tcPr>
          <w:p>
            <w:pPr>
              <w:spacing w:after="0"/>
              <w:rPr>
                <w:sz w:val="1"/>
                <w:szCs w:val="1"/>
                <w:color w:val="auto"/>
              </w:rPr>
            </w:pPr>
          </w:p>
        </w:tc>
      </w:tr>
      <w:tr>
        <w:trPr>
          <w:trHeight w:val="20"/>
        </w:trPr>
        <w:tc>
          <w:tcPr>
            <w:tcW w:w="6140" w:type="dxa"/>
            <w:vAlign w:val="bottom"/>
            <w:tcBorders>
              <w:left w:val="single" w:sz="8" w:color="auto"/>
              <w:right w:val="single" w:sz="8" w:color="auto"/>
            </w:tcBorders>
            <w:vMerge w:val="restart"/>
          </w:tcPr>
          <w:p>
            <w:pPr>
              <w:ind w:left="40"/>
              <w:spacing w:after="0" w:line="317" w:lineRule="exact"/>
              <w:rPr>
                <w:sz w:val="20"/>
                <w:szCs w:val="20"/>
                <w:color w:val="auto"/>
              </w:rPr>
            </w:pPr>
            <w:r>
              <w:rPr>
                <w:rFonts w:ascii="Times New Roman" w:cs="Times New Roman" w:eastAsia="Times New Roman" w:hAnsi="Times New Roman"/>
                <w:sz w:val="28"/>
                <w:szCs w:val="28"/>
                <w:color w:val="auto"/>
              </w:rPr>
              <w:t>Чистая прибыль (без процентов и налогов), руб.</w:t>
            </w:r>
          </w:p>
        </w:tc>
        <w:tc>
          <w:tcPr>
            <w:tcW w:w="1620" w:type="dxa"/>
            <w:vAlign w:val="bottom"/>
            <w:tcBorders>
              <w:right w:val="single" w:sz="8" w:color="auto"/>
            </w:tcBorders>
          </w:tcPr>
          <w:p>
            <w:pPr>
              <w:spacing w:after="0" w:line="20" w:lineRule="exact"/>
              <w:rPr>
                <w:sz w:val="1"/>
                <w:szCs w:val="1"/>
                <w:color w:val="auto"/>
              </w:rPr>
            </w:pPr>
          </w:p>
        </w:tc>
        <w:tc>
          <w:tcPr>
            <w:tcW w:w="1640" w:type="dxa"/>
            <w:vAlign w:val="bottom"/>
            <w:tcBorders>
              <w:right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97"/>
        </w:trPr>
        <w:tc>
          <w:tcPr>
            <w:tcW w:w="6140" w:type="dxa"/>
            <w:vAlign w:val="bottom"/>
            <w:tcBorders>
              <w:left w:val="single" w:sz="8" w:color="auto"/>
              <w:bottom w:val="single" w:sz="8" w:color="auto"/>
              <w:right w:val="single" w:sz="8" w:color="auto"/>
            </w:tcBorders>
            <w:vMerge w:val="continue"/>
          </w:tcPr>
          <w:p>
            <w:pPr>
              <w:spacing w:after="0"/>
              <w:rPr>
                <w:sz w:val="24"/>
                <w:szCs w:val="24"/>
                <w:color w:val="auto"/>
              </w:rPr>
            </w:pPr>
          </w:p>
        </w:tc>
        <w:tc>
          <w:tcPr>
            <w:tcW w:w="1620" w:type="dxa"/>
            <w:vAlign w:val="bottom"/>
            <w:tcBorders>
              <w:bottom w:val="single" w:sz="8" w:color="auto"/>
              <w:right w:val="single" w:sz="8" w:color="auto"/>
            </w:tcBorders>
          </w:tcPr>
          <w:p>
            <w:pPr>
              <w:jc w:val="center"/>
              <w:spacing w:after="0" w:line="297" w:lineRule="exact"/>
              <w:rPr>
                <w:sz w:val="20"/>
                <w:szCs w:val="20"/>
                <w:color w:val="auto"/>
              </w:rPr>
            </w:pPr>
            <w:r>
              <w:rPr>
                <w:rFonts w:ascii="Times New Roman" w:cs="Times New Roman" w:eastAsia="Times New Roman" w:hAnsi="Times New Roman"/>
                <w:sz w:val="28"/>
                <w:szCs w:val="28"/>
                <w:color w:val="auto"/>
                <w:w w:val="99"/>
              </w:rPr>
              <w:t>92000</w:t>
            </w:r>
          </w:p>
        </w:tc>
        <w:tc>
          <w:tcPr>
            <w:tcW w:w="1640" w:type="dxa"/>
            <w:vAlign w:val="bottom"/>
            <w:tcBorders>
              <w:bottom w:val="single" w:sz="8" w:color="auto"/>
              <w:right w:val="single" w:sz="8" w:color="auto"/>
            </w:tcBorders>
          </w:tcPr>
          <w:p>
            <w:pPr>
              <w:jc w:val="center"/>
              <w:spacing w:after="0" w:line="297" w:lineRule="exact"/>
              <w:rPr>
                <w:sz w:val="20"/>
                <w:szCs w:val="20"/>
                <w:color w:val="auto"/>
              </w:rPr>
            </w:pPr>
            <w:r>
              <w:rPr>
                <w:rFonts w:ascii="Times New Roman" w:cs="Times New Roman" w:eastAsia="Times New Roman" w:hAnsi="Times New Roman"/>
                <w:sz w:val="28"/>
                <w:szCs w:val="28"/>
                <w:color w:val="auto"/>
                <w:w w:val="99"/>
              </w:rPr>
              <w:t>37000</w:t>
            </w:r>
          </w:p>
        </w:tc>
        <w:tc>
          <w:tcPr>
            <w:tcW w:w="0" w:type="dxa"/>
            <w:vAlign w:val="bottom"/>
          </w:tcPr>
          <w:p>
            <w:pPr>
              <w:spacing w:after="0"/>
              <w:rPr>
                <w:sz w:val="1"/>
                <w:szCs w:val="1"/>
                <w:color w:val="auto"/>
              </w:rPr>
            </w:pPr>
          </w:p>
        </w:tc>
      </w:tr>
      <w:tr>
        <w:trPr>
          <w:trHeight w:val="20"/>
        </w:trPr>
        <w:tc>
          <w:tcPr>
            <w:tcW w:w="6140" w:type="dxa"/>
            <w:vAlign w:val="bottom"/>
            <w:tcBorders>
              <w:left w:val="single" w:sz="8" w:color="auto"/>
              <w:right w:val="single" w:sz="8" w:color="auto"/>
            </w:tcBorders>
          </w:tcPr>
          <w:p>
            <w:pPr>
              <w:spacing w:after="0" w:line="20" w:lineRule="exact"/>
              <w:rPr>
                <w:sz w:val="1"/>
                <w:szCs w:val="1"/>
                <w:color w:val="auto"/>
              </w:rPr>
            </w:pPr>
          </w:p>
        </w:tc>
        <w:tc>
          <w:tcPr>
            <w:tcW w:w="1620" w:type="dxa"/>
            <w:vAlign w:val="bottom"/>
            <w:tcBorders>
              <w:right w:val="single" w:sz="8" w:color="auto"/>
            </w:tcBorders>
          </w:tcPr>
          <w:p>
            <w:pPr>
              <w:spacing w:after="0" w:line="20" w:lineRule="exact"/>
              <w:rPr>
                <w:sz w:val="1"/>
                <w:szCs w:val="1"/>
                <w:color w:val="auto"/>
              </w:rPr>
            </w:pPr>
          </w:p>
        </w:tc>
        <w:tc>
          <w:tcPr>
            <w:tcW w:w="1640" w:type="dxa"/>
            <w:vAlign w:val="bottom"/>
            <w:tcBorders>
              <w:right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76"/>
        </w:trPr>
        <w:tc>
          <w:tcPr>
            <w:tcW w:w="6140" w:type="dxa"/>
            <w:vAlign w:val="bottom"/>
            <w:tcBorders>
              <w:left w:val="single" w:sz="8" w:color="auto"/>
              <w:right w:val="single" w:sz="8" w:color="auto"/>
            </w:tcBorders>
          </w:tcPr>
          <w:p>
            <w:pPr>
              <w:ind w:left="40"/>
              <w:spacing w:after="0" w:line="276" w:lineRule="exact"/>
              <w:rPr>
                <w:sz w:val="20"/>
                <w:szCs w:val="20"/>
                <w:color w:val="auto"/>
              </w:rPr>
            </w:pPr>
            <w:r>
              <w:rPr>
                <w:rFonts w:ascii="Times New Roman" w:cs="Times New Roman" w:eastAsia="Times New Roman" w:hAnsi="Times New Roman"/>
                <w:sz w:val="28"/>
                <w:szCs w:val="28"/>
                <w:color w:val="auto"/>
              </w:rPr>
              <w:t>Обыкновенные акции, находящиеся в обращении,</w:t>
            </w:r>
          </w:p>
        </w:tc>
        <w:tc>
          <w:tcPr>
            <w:tcW w:w="1620" w:type="dxa"/>
            <w:vAlign w:val="bottom"/>
            <w:tcBorders>
              <w:right w:val="single" w:sz="8" w:color="auto"/>
            </w:tcBorders>
          </w:tcPr>
          <w:p>
            <w:pPr>
              <w:jc w:val="center"/>
              <w:spacing w:after="0" w:line="276" w:lineRule="exact"/>
              <w:rPr>
                <w:sz w:val="20"/>
                <w:szCs w:val="20"/>
                <w:color w:val="auto"/>
              </w:rPr>
            </w:pPr>
            <w:r>
              <w:rPr>
                <w:rFonts w:ascii="Times New Roman" w:cs="Times New Roman" w:eastAsia="Times New Roman" w:hAnsi="Times New Roman"/>
                <w:sz w:val="28"/>
                <w:szCs w:val="28"/>
                <w:color w:val="auto"/>
              </w:rPr>
              <w:t>9200</w:t>
            </w:r>
          </w:p>
        </w:tc>
        <w:tc>
          <w:tcPr>
            <w:tcW w:w="1640" w:type="dxa"/>
            <w:vAlign w:val="bottom"/>
            <w:tcBorders>
              <w:right w:val="single" w:sz="8" w:color="auto"/>
            </w:tcBorders>
          </w:tcPr>
          <w:p>
            <w:pPr>
              <w:jc w:val="center"/>
              <w:spacing w:after="0" w:line="276" w:lineRule="exact"/>
              <w:rPr>
                <w:sz w:val="20"/>
                <w:szCs w:val="20"/>
                <w:color w:val="auto"/>
              </w:rPr>
            </w:pPr>
            <w:r>
              <w:rPr>
                <w:rFonts w:ascii="Times New Roman" w:cs="Times New Roman" w:eastAsia="Times New Roman" w:hAnsi="Times New Roman"/>
                <w:sz w:val="28"/>
                <w:szCs w:val="28"/>
                <w:color w:val="auto"/>
              </w:rPr>
              <w:t>3000</w:t>
            </w:r>
          </w:p>
        </w:tc>
        <w:tc>
          <w:tcPr>
            <w:tcW w:w="0" w:type="dxa"/>
            <w:vAlign w:val="bottom"/>
          </w:tcPr>
          <w:p>
            <w:pPr>
              <w:spacing w:after="0"/>
              <w:rPr>
                <w:sz w:val="1"/>
                <w:szCs w:val="1"/>
                <w:color w:val="auto"/>
              </w:rPr>
            </w:pPr>
          </w:p>
        </w:tc>
      </w:tr>
      <w:tr>
        <w:trPr>
          <w:trHeight w:val="343"/>
        </w:trPr>
        <w:tc>
          <w:tcPr>
            <w:tcW w:w="6140" w:type="dxa"/>
            <w:vAlign w:val="bottom"/>
            <w:tcBorders>
              <w:left w:val="single" w:sz="8" w:color="auto"/>
              <w:bottom w:val="single" w:sz="8" w:color="auto"/>
              <w:right w:val="single" w:sz="8" w:color="auto"/>
            </w:tcBorders>
          </w:tcPr>
          <w:p>
            <w:pPr>
              <w:ind w:left="40"/>
              <w:spacing w:after="0"/>
              <w:rPr>
                <w:sz w:val="20"/>
                <w:szCs w:val="20"/>
                <w:color w:val="auto"/>
              </w:rPr>
            </w:pPr>
            <w:r>
              <w:rPr>
                <w:rFonts w:ascii="Times New Roman" w:cs="Times New Roman" w:eastAsia="Times New Roman" w:hAnsi="Times New Roman"/>
                <w:sz w:val="28"/>
                <w:szCs w:val="28"/>
                <w:color w:val="auto"/>
              </w:rPr>
              <w:t>штук</w:t>
            </w:r>
          </w:p>
        </w:tc>
        <w:tc>
          <w:tcPr>
            <w:tcW w:w="1620" w:type="dxa"/>
            <w:vAlign w:val="bottom"/>
            <w:tcBorders>
              <w:bottom w:val="single" w:sz="8" w:color="auto"/>
              <w:right w:val="single" w:sz="8" w:color="auto"/>
            </w:tcBorders>
          </w:tcPr>
          <w:p>
            <w:pPr>
              <w:spacing w:after="0"/>
              <w:rPr>
                <w:sz w:val="24"/>
                <w:szCs w:val="24"/>
                <w:color w:val="auto"/>
              </w:rPr>
            </w:pPr>
          </w:p>
        </w:tc>
        <w:tc>
          <w:tcPr>
            <w:tcW w:w="164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17"/>
        </w:trPr>
        <w:tc>
          <w:tcPr>
            <w:tcW w:w="6140" w:type="dxa"/>
            <w:vAlign w:val="bottom"/>
            <w:tcBorders>
              <w:left w:val="single" w:sz="8" w:color="auto"/>
              <w:bottom w:val="single" w:sz="8" w:color="auto"/>
              <w:right w:val="single" w:sz="8" w:color="auto"/>
            </w:tcBorders>
          </w:tcPr>
          <w:p>
            <w:pPr>
              <w:ind w:left="40"/>
              <w:spacing w:after="0" w:line="317" w:lineRule="exact"/>
              <w:rPr>
                <w:sz w:val="20"/>
                <w:szCs w:val="20"/>
                <w:color w:val="auto"/>
              </w:rPr>
            </w:pPr>
            <w:r>
              <w:rPr>
                <w:rFonts w:ascii="Times New Roman" w:cs="Times New Roman" w:eastAsia="Times New Roman" w:hAnsi="Times New Roman"/>
                <w:sz w:val="28"/>
                <w:szCs w:val="28"/>
                <w:color w:val="auto"/>
              </w:rPr>
              <w:t>Прибыль на акцию, руб.</w:t>
            </w:r>
          </w:p>
        </w:tc>
        <w:tc>
          <w:tcPr>
            <w:tcW w:w="1620" w:type="dxa"/>
            <w:vAlign w:val="bottom"/>
            <w:tcBorders>
              <w:bottom w:val="single" w:sz="8" w:color="auto"/>
              <w:right w:val="single" w:sz="8" w:color="auto"/>
            </w:tcBorders>
          </w:tcPr>
          <w:p>
            <w:pPr>
              <w:jc w:val="right"/>
              <w:ind w:right="460"/>
              <w:spacing w:after="0" w:line="317" w:lineRule="exact"/>
              <w:rPr>
                <w:sz w:val="20"/>
                <w:szCs w:val="20"/>
                <w:color w:val="auto"/>
              </w:rPr>
            </w:pPr>
            <w:r>
              <w:rPr>
                <w:rFonts w:ascii="Times New Roman" w:cs="Times New Roman" w:eastAsia="Times New Roman" w:hAnsi="Times New Roman"/>
                <w:sz w:val="28"/>
                <w:szCs w:val="28"/>
                <w:color w:val="auto"/>
              </w:rPr>
              <w:t>10,0</w:t>
            </w:r>
          </w:p>
        </w:tc>
        <w:tc>
          <w:tcPr>
            <w:tcW w:w="1640" w:type="dxa"/>
            <w:vAlign w:val="bottom"/>
            <w:tcBorders>
              <w:bottom w:val="single" w:sz="8" w:color="auto"/>
              <w:right w:val="single" w:sz="8" w:color="auto"/>
            </w:tcBorders>
          </w:tcPr>
          <w:p>
            <w:pPr>
              <w:jc w:val="center"/>
              <w:spacing w:after="0" w:line="317" w:lineRule="exact"/>
              <w:rPr>
                <w:sz w:val="20"/>
                <w:szCs w:val="20"/>
                <w:color w:val="auto"/>
              </w:rPr>
            </w:pPr>
            <w:r>
              <w:rPr>
                <w:rFonts w:ascii="Times New Roman" w:cs="Times New Roman" w:eastAsia="Times New Roman" w:hAnsi="Times New Roman"/>
                <w:sz w:val="28"/>
                <w:szCs w:val="28"/>
                <w:color w:val="auto"/>
                <w:w w:val="93"/>
              </w:rPr>
              <w:t>10,0</w:t>
            </w:r>
          </w:p>
        </w:tc>
        <w:tc>
          <w:tcPr>
            <w:tcW w:w="0" w:type="dxa"/>
            <w:vAlign w:val="bottom"/>
          </w:tcPr>
          <w:p>
            <w:pPr>
              <w:spacing w:after="0"/>
              <w:rPr>
                <w:sz w:val="1"/>
                <w:szCs w:val="1"/>
                <w:color w:val="auto"/>
              </w:rPr>
            </w:pPr>
          </w:p>
        </w:tc>
      </w:tr>
      <w:tr>
        <w:trPr>
          <w:trHeight w:val="296"/>
        </w:trPr>
        <w:tc>
          <w:tcPr>
            <w:tcW w:w="6140" w:type="dxa"/>
            <w:vAlign w:val="bottom"/>
            <w:tcBorders>
              <w:left w:val="single" w:sz="8" w:color="auto"/>
              <w:right w:val="single" w:sz="8" w:color="auto"/>
            </w:tcBorders>
          </w:tcPr>
          <w:p>
            <w:pPr>
              <w:ind w:left="40"/>
              <w:spacing w:after="0" w:line="296" w:lineRule="exact"/>
              <w:rPr>
                <w:sz w:val="20"/>
                <w:szCs w:val="20"/>
                <w:color w:val="auto"/>
              </w:rPr>
            </w:pPr>
            <w:r>
              <w:rPr>
                <w:rFonts w:ascii="Times New Roman" w:cs="Times New Roman" w:eastAsia="Times New Roman" w:hAnsi="Times New Roman"/>
                <w:sz w:val="28"/>
                <w:szCs w:val="28"/>
                <w:color w:val="auto"/>
              </w:rPr>
              <w:t>Ожидаемый  прирост  прибыли  в  год  после</w:t>
            </w:r>
          </w:p>
        </w:tc>
        <w:tc>
          <w:tcPr>
            <w:tcW w:w="1620" w:type="dxa"/>
            <w:vAlign w:val="bottom"/>
            <w:tcBorders>
              <w:right w:val="single" w:sz="8" w:color="auto"/>
            </w:tcBorders>
          </w:tcPr>
          <w:p>
            <w:pPr>
              <w:jc w:val="center"/>
              <w:spacing w:after="0" w:line="296" w:lineRule="exact"/>
              <w:rPr>
                <w:sz w:val="20"/>
                <w:szCs w:val="20"/>
                <w:color w:val="auto"/>
              </w:rPr>
            </w:pPr>
            <w:r>
              <w:rPr>
                <w:rFonts w:ascii="Times New Roman" w:cs="Times New Roman" w:eastAsia="Times New Roman" w:hAnsi="Times New Roman"/>
                <w:sz w:val="28"/>
                <w:szCs w:val="28"/>
                <w:color w:val="auto"/>
                <w:w w:val="99"/>
              </w:rPr>
              <w:t>5</w:t>
            </w:r>
          </w:p>
        </w:tc>
        <w:tc>
          <w:tcPr>
            <w:tcW w:w="1640" w:type="dxa"/>
            <w:vAlign w:val="bottom"/>
            <w:tcBorders>
              <w:right w:val="single" w:sz="8" w:color="auto"/>
            </w:tcBorders>
          </w:tcPr>
          <w:p>
            <w:pPr>
              <w:jc w:val="center"/>
              <w:spacing w:after="0" w:line="296" w:lineRule="exact"/>
              <w:rPr>
                <w:sz w:val="20"/>
                <w:szCs w:val="20"/>
                <w:color w:val="auto"/>
              </w:rPr>
            </w:pPr>
            <w:r>
              <w:rPr>
                <w:rFonts w:ascii="Times New Roman" w:cs="Times New Roman" w:eastAsia="Times New Roman" w:hAnsi="Times New Roman"/>
                <w:sz w:val="28"/>
                <w:szCs w:val="28"/>
                <w:color w:val="auto"/>
                <w:w w:val="99"/>
              </w:rPr>
              <w:t>2</w:t>
            </w:r>
          </w:p>
        </w:tc>
        <w:tc>
          <w:tcPr>
            <w:tcW w:w="0" w:type="dxa"/>
            <w:vAlign w:val="bottom"/>
          </w:tcPr>
          <w:p>
            <w:pPr>
              <w:spacing w:after="0"/>
              <w:rPr>
                <w:sz w:val="1"/>
                <w:szCs w:val="1"/>
                <w:color w:val="auto"/>
              </w:rPr>
            </w:pPr>
          </w:p>
        </w:tc>
      </w:tr>
      <w:tr>
        <w:trPr>
          <w:trHeight w:val="343"/>
        </w:trPr>
        <w:tc>
          <w:tcPr>
            <w:tcW w:w="6140" w:type="dxa"/>
            <w:vAlign w:val="bottom"/>
            <w:tcBorders>
              <w:left w:val="single" w:sz="8" w:color="auto"/>
              <w:bottom w:val="single" w:sz="8" w:color="auto"/>
              <w:right w:val="single" w:sz="8" w:color="auto"/>
            </w:tcBorders>
          </w:tcPr>
          <w:p>
            <w:pPr>
              <w:ind w:left="40"/>
              <w:spacing w:after="0"/>
              <w:rPr>
                <w:sz w:val="20"/>
                <w:szCs w:val="20"/>
                <w:color w:val="auto"/>
              </w:rPr>
            </w:pPr>
            <w:r>
              <w:rPr>
                <w:rFonts w:ascii="Times New Roman" w:cs="Times New Roman" w:eastAsia="Times New Roman" w:hAnsi="Times New Roman"/>
                <w:sz w:val="28"/>
                <w:szCs w:val="28"/>
                <w:color w:val="auto"/>
              </w:rPr>
              <w:t>поглощения, а, %</w:t>
            </w:r>
          </w:p>
        </w:tc>
        <w:tc>
          <w:tcPr>
            <w:tcW w:w="1620" w:type="dxa"/>
            <w:vAlign w:val="bottom"/>
            <w:tcBorders>
              <w:bottom w:val="single" w:sz="8" w:color="auto"/>
              <w:right w:val="single" w:sz="8" w:color="auto"/>
            </w:tcBorders>
          </w:tcPr>
          <w:p>
            <w:pPr>
              <w:spacing w:after="0"/>
              <w:rPr>
                <w:sz w:val="24"/>
                <w:szCs w:val="24"/>
                <w:color w:val="auto"/>
              </w:rPr>
            </w:pPr>
          </w:p>
        </w:tc>
        <w:tc>
          <w:tcPr>
            <w:tcW w:w="164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16"/>
        </w:trPr>
        <w:tc>
          <w:tcPr>
            <w:tcW w:w="6140" w:type="dxa"/>
            <w:vAlign w:val="bottom"/>
            <w:tcBorders>
              <w:left w:val="single" w:sz="8" w:color="auto"/>
              <w:bottom w:val="single" w:sz="8" w:color="auto"/>
              <w:right w:val="single" w:sz="8" w:color="auto"/>
            </w:tcBorders>
          </w:tcPr>
          <w:p>
            <w:pPr>
              <w:ind w:left="40"/>
              <w:spacing w:after="0" w:line="316" w:lineRule="exact"/>
              <w:rPr>
                <w:sz w:val="20"/>
                <w:szCs w:val="20"/>
                <w:color w:val="auto"/>
              </w:rPr>
            </w:pPr>
            <w:r>
              <w:rPr>
                <w:rFonts w:ascii="Times New Roman" w:cs="Times New Roman" w:eastAsia="Times New Roman" w:hAnsi="Times New Roman"/>
                <w:sz w:val="28"/>
                <w:szCs w:val="28"/>
                <w:color w:val="auto"/>
              </w:rPr>
              <w:t>Соотношение «Цена/Прибыль»</w:t>
            </w:r>
          </w:p>
        </w:tc>
        <w:tc>
          <w:tcPr>
            <w:tcW w:w="1620" w:type="dxa"/>
            <w:vAlign w:val="bottom"/>
            <w:tcBorders>
              <w:bottom w:val="single" w:sz="8" w:color="auto"/>
              <w:right w:val="single" w:sz="8" w:color="auto"/>
            </w:tcBorders>
          </w:tcPr>
          <w:p>
            <w:pPr>
              <w:jc w:val="center"/>
              <w:spacing w:after="0" w:line="316" w:lineRule="exact"/>
              <w:rPr>
                <w:sz w:val="20"/>
                <w:szCs w:val="20"/>
                <w:color w:val="auto"/>
              </w:rPr>
            </w:pPr>
            <w:r>
              <w:rPr>
                <w:rFonts w:ascii="Times New Roman" w:cs="Times New Roman" w:eastAsia="Times New Roman" w:hAnsi="Times New Roman"/>
                <w:sz w:val="28"/>
                <w:szCs w:val="28"/>
                <w:color w:val="auto"/>
                <w:w w:val="95"/>
              </w:rPr>
              <w:t>9,4:1</w:t>
            </w:r>
          </w:p>
        </w:tc>
        <w:tc>
          <w:tcPr>
            <w:tcW w:w="1640" w:type="dxa"/>
            <w:vAlign w:val="bottom"/>
            <w:tcBorders>
              <w:bottom w:val="single" w:sz="8" w:color="auto"/>
              <w:right w:val="single" w:sz="8" w:color="auto"/>
            </w:tcBorders>
          </w:tcPr>
          <w:p>
            <w:pPr>
              <w:jc w:val="center"/>
              <w:spacing w:after="0" w:line="316" w:lineRule="exact"/>
              <w:rPr>
                <w:sz w:val="20"/>
                <w:szCs w:val="20"/>
                <w:color w:val="auto"/>
              </w:rPr>
            </w:pPr>
            <w:r>
              <w:rPr>
                <w:rFonts w:ascii="Times New Roman" w:cs="Times New Roman" w:eastAsia="Times New Roman" w:hAnsi="Times New Roman"/>
                <w:sz w:val="28"/>
                <w:szCs w:val="28"/>
                <w:color w:val="auto"/>
              </w:rPr>
              <w:t>-</w:t>
            </w: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4045585</wp:posOffset>
                </wp:positionH>
                <wp:positionV relativeFrom="paragraph">
                  <wp:posOffset>-1702435</wp:posOffset>
                </wp:positionV>
                <wp:extent cx="12700" cy="12700"/>
                <wp:wrapNone/>
                <wp:docPr id="61" name="Shape 6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w:pict>
              <v:rect id="Shape 61" o:spid="_x0000_s1086" style="position:absolute;margin-left:318.55pt;margin-top:-134.0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mc:AlternateContent>
          <mc:Choice Requires="wps">
            <w:drawing>
              <wp:anchor simplePos="0" relativeHeight="251657728" behindDoc="1" locked="0" layoutInCell="0" allowOverlap="1">
                <wp:simplePos x="0" y="0"/>
                <wp:positionH relativeFrom="column">
                  <wp:posOffset>4056380</wp:posOffset>
                </wp:positionH>
                <wp:positionV relativeFrom="paragraph">
                  <wp:posOffset>-1691640</wp:posOffset>
                </wp:positionV>
                <wp:extent cx="1019810" cy="0"/>
                <wp:wrapNone/>
                <wp:docPr id="62" name="Shape 6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019810" cy="4763"/>
                        </a:xfrm>
                        <a:prstGeom prst="line">
                          <a:avLst/>
                        </a:prstGeom>
                        <a:solidFill>
                          <a:srgbClr val="FFFFFF"/>
                        </a:solidFill>
                        <a:ln w="762">
                          <a:solidFill>
                            <a:srgbClr val="FFFFFF"/>
                          </a:solidFill>
                          <a:miter lim="800000"/>
                          <a:headEnd/>
                          <a:tailEnd/>
                        </a:ln>
                      </wps:spPr>
                      <wps:bodyPr/>
                    </wps:wsp>
                  </a:graphicData>
                </a:graphic>
              </wp:anchor>
            </w:drawing>
          </mc:Choice>
          <mc:Fallback>
            <w:pict>
              <v:line id="Shape 62" o:spid="_x0000_s108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9.4pt,-133.1999pt" to="399.7pt,-133.1999pt" o:allowincell="f" strokecolor="#FFFFFF" strokeweight="0.06pt"/>
            </w:pict>
          </mc:Fallback>
        </mc:AlternateContent>
        <mc:AlternateContent>
          <mc:Choice Requires="wps">
            <w:drawing>
              <wp:anchor simplePos="0" relativeHeight="251657728" behindDoc="1" locked="0" layoutInCell="0" allowOverlap="1">
                <wp:simplePos x="0" y="0"/>
                <wp:positionH relativeFrom="column">
                  <wp:posOffset>5085080</wp:posOffset>
                </wp:positionH>
                <wp:positionV relativeFrom="paragraph">
                  <wp:posOffset>-1691640</wp:posOffset>
                </wp:positionV>
                <wp:extent cx="1042035" cy="0"/>
                <wp:wrapNone/>
                <wp:docPr id="63" name="Shape 6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042035" cy="4763"/>
                        </a:xfrm>
                        <a:prstGeom prst="line">
                          <a:avLst/>
                        </a:prstGeom>
                        <a:solidFill>
                          <a:srgbClr val="FFFFFF"/>
                        </a:solidFill>
                        <a:ln w="761">
                          <a:solidFill>
                            <a:srgbClr val="FFFFFF"/>
                          </a:solidFill>
                          <a:miter lim="800000"/>
                          <a:headEnd/>
                          <a:tailEnd/>
                        </a:ln>
                      </wps:spPr>
                      <wps:bodyPr/>
                    </wps:wsp>
                  </a:graphicData>
                </a:graphic>
              </wp:anchor>
            </w:drawing>
          </mc:Choice>
          <mc:Fallback>
            <w:pict>
              <v:line id="Shape 63" o:spid="_x0000_s108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00.4pt,-133.1999pt" to="482.45pt,-133.1999pt" o:allowincell="f" strokecolor="#FFFFFF" strokeweight="0.0599pt"/>
            </w:pict>
          </mc:Fallback>
        </mc:AlternateContent>
        <mc:AlternateContent>
          <mc:Choice Requires="wps">
            <w:drawing>
              <wp:anchor simplePos="0" relativeHeight="251657728" behindDoc="1" locked="0" layoutInCell="0" allowOverlap="1">
                <wp:simplePos x="0" y="0"/>
                <wp:positionH relativeFrom="column">
                  <wp:posOffset>170180</wp:posOffset>
                </wp:positionH>
                <wp:positionV relativeFrom="paragraph">
                  <wp:posOffset>-1477645</wp:posOffset>
                </wp:positionV>
                <wp:extent cx="3877310" cy="0"/>
                <wp:wrapNone/>
                <wp:docPr id="64" name="Shape 6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877310" cy="4763"/>
                        </a:xfrm>
                        <a:prstGeom prst="line">
                          <a:avLst/>
                        </a:prstGeom>
                        <a:solidFill>
                          <a:srgbClr val="FFFFFF"/>
                        </a:solidFill>
                        <a:ln w="761">
                          <a:solidFill>
                            <a:srgbClr val="FFFFFF"/>
                          </a:solidFill>
                          <a:miter lim="800000"/>
                          <a:headEnd/>
                          <a:tailEnd/>
                        </a:ln>
                      </wps:spPr>
                      <wps:bodyPr/>
                    </wps:wsp>
                  </a:graphicData>
                </a:graphic>
              </wp:anchor>
            </w:drawing>
          </mc:Choice>
          <mc:Fallback>
            <w:pict>
              <v:line id="Shape 64" o:spid="_x0000_s108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4pt,-116.3499pt" to="318.7pt,-116.3499pt" o:allowincell="f" strokecolor="#FFFFFF" strokeweight="0.0599pt"/>
            </w:pict>
          </mc:Fallback>
        </mc:AlternateContent>
        <mc:AlternateContent>
          <mc:Choice Requires="wps">
            <w:drawing>
              <wp:anchor simplePos="0" relativeHeight="251657728" behindDoc="1" locked="0" layoutInCell="0" allowOverlap="1">
                <wp:simplePos x="0" y="0"/>
                <wp:positionH relativeFrom="column">
                  <wp:posOffset>4045585</wp:posOffset>
                </wp:positionH>
                <wp:positionV relativeFrom="paragraph">
                  <wp:posOffset>-1488440</wp:posOffset>
                </wp:positionV>
                <wp:extent cx="12700" cy="12700"/>
                <wp:wrapNone/>
                <wp:docPr id="65" name="Shape 6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w:pict>
              <v:rect id="Shape 65" o:spid="_x0000_s1090" style="position:absolute;margin-left:318.55pt;margin-top:-117.19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mc:AlternateContent>
          <mc:Choice Requires="wps">
            <w:drawing>
              <wp:anchor simplePos="0" relativeHeight="251657728" behindDoc="1" locked="0" layoutInCell="0" allowOverlap="1">
                <wp:simplePos x="0" y="0"/>
                <wp:positionH relativeFrom="column">
                  <wp:posOffset>4056380</wp:posOffset>
                </wp:positionH>
                <wp:positionV relativeFrom="paragraph">
                  <wp:posOffset>-1477645</wp:posOffset>
                </wp:positionV>
                <wp:extent cx="1019810" cy="0"/>
                <wp:wrapNone/>
                <wp:docPr id="66" name="Shape 6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019810" cy="4763"/>
                        </a:xfrm>
                        <a:prstGeom prst="line">
                          <a:avLst/>
                        </a:prstGeom>
                        <a:solidFill>
                          <a:srgbClr val="FFFFFF"/>
                        </a:solidFill>
                        <a:ln w="761">
                          <a:solidFill>
                            <a:srgbClr val="FFFFFF"/>
                          </a:solidFill>
                          <a:miter lim="800000"/>
                          <a:headEnd/>
                          <a:tailEnd/>
                        </a:ln>
                      </wps:spPr>
                      <wps:bodyPr/>
                    </wps:wsp>
                  </a:graphicData>
                </a:graphic>
              </wp:anchor>
            </w:drawing>
          </mc:Choice>
          <mc:Fallback>
            <w:pict>
              <v:line id="Shape 66" o:spid="_x0000_s109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9.4pt,-116.3499pt" to="399.7pt,-116.3499pt" o:allowincell="f" strokecolor="#FFFFFF" strokeweight="0.0599pt"/>
            </w:pict>
          </mc:Fallback>
        </mc:AlternateContent>
        <mc:AlternateContent>
          <mc:Choice Requires="wps">
            <w:drawing>
              <wp:anchor simplePos="0" relativeHeight="251657728" behindDoc="1" locked="0" layoutInCell="0" allowOverlap="1">
                <wp:simplePos x="0" y="0"/>
                <wp:positionH relativeFrom="column">
                  <wp:posOffset>5085080</wp:posOffset>
                </wp:positionH>
                <wp:positionV relativeFrom="paragraph">
                  <wp:posOffset>-1477645</wp:posOffset>
                </wp:positionV>
                <wp:extent cx="1042035" cy="0"/>
                <wp:wrapNone/>
                <wp:docPr id="67" name="Shape 6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042035" cy="4763"/>
                        </a:xfrm>
                        <a:prstGeom prst="line">
                          <a:avLst/>
                        </a:prstGeom>
                        <a:solidFill>
                          <a:srgbClr val="FFFFFF"/>
                        </a:solidFill>
                        <a:ln w="761">
                          <a:solidFill>
                            <a:srgbClr val="FFFFFF"/>
                          </a:solidFill>
                          <a:miter lim="800000"/>
                          <a:headEnd/>
                          <a:tailEnd/>
                        </a:ln>
                      </wps:spPr>
                      <wps:bodyPr/>
                    </wps:wsp>
                  </a:graphicData>
                </a:graphic>
              </wp:anchor>
            </w:drawing>
          </mc:Choice>
          <mc:Fallback>
            <w:pict>
              <v:line id="Shape 67" o:spid="_x0000_s109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00.4pt,-116.3499pt" to="482.45pt,-116.3499pt" o:allowincell="f" strokecolor="#FFFFFF" strokeweight="0.0599pt"/>
            </w:pict>
          </mc:Fallback>
        </mc:AlternateContent>
        <mc:AlternateContent>
          <mc:Choice Requires="wps">
            <w:drawing>
              <wp:anchor simplePos="0" relativeHeight="251657728" behindDoc="1" locked="0" layoutInCell="0" allowOverlap="1">
                <wp:simplePos x="0" y="0"/>
                <wp:positionH relativeFrom="column">
                  <wp:posOffset>170180</wp:posOffset>
                </wp:positionH>
                <wp:positionV relativeFrom="paragraph">
                  <wp:posOffset>-1263650</wp:posOffset>
                </wp:positionV>
                <wp:extent cx="3877310" cy="0"/>
                <wp:wrapNone/>
                <wp:docPr id="68" name="Shape 6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877310" cy="4763"/>
                        </a:xfrm>
                        <a:prstGeom prst="line">
                          <a:avLst/>
                        </a:prstGeom>
                        <a:solidFill>
                          <a:srgbClr val="FFFFFF"/>
                        </a:solidFill>
                        <a:ln w="761">
                          <a:solidFill>
                            <a:srgbClr val="FFFFFF"/>
                          </a:solidFill>
                          <a:miter lim="800000"/>
                          <a:headEnd/>
                          <a:tailEnd/>
                        </a:ln>
                      </wps:spPr>
                      <wps:bodyPr/>
                    </wps:wsp>
                  </a:graphicData>
                </a:graphic>
              </wp:anchor>
            </w:drawing>
          </mc:Choice>
          <mc:Fallback>
            <w:pict>
              <v:line id="Shape 68" o:spid="_x0000_s109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4pt,-99.4999pt" to="318.7pt,-99.4999pt" o:allowincell="f" strokecolor="#FFFFFF" strokeweight="0.0599pt"/>
            </w:pict>
          </mc:Fallback>
        </mc:AlternateContent>
        <mc:AlternateContent>
          <mc:Choice Requires="wps">
            <w:drawing>
              <wp:anchor simplePos="0" relativeHeight="251657728" behindDoc="1" locked="0" layoutInCell="0" allowOverlap="1">
                <wp:simplePos x="0" y="0"/>
                <wp:positionH relativeFrom="column">
                  <wp:posOffset>4045585</wp:posOffset>
                </wp:positionH>
                <wp:positionV relativeFrom="paragraph">
                  <wp:posOffset>-1274445</wp:posOffset>
                </wp:positionV>
                <wp:extent cx="12700" cy="12700"/>
                <wp:wrapNone/>
                <wp:docPr id="69" name="Shape 6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w:pict>
              <v:rect id="Shape 69" o:spid="_x0000_s1094" style="position:absolute;margin-left:318.55pt;margin-top:-100.3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mc:AlternateContent>
          <mc:Choice Requires="wps">
            <w:drawing>
              <wp:anchor simplePos="0" relativeHeight="251657728" behindDoc="1" locked="0" layoutInCell="0" allowOverlap="1">
                <wp:simplePos x="0" y="0"/>
                <wp:positionH relativeFrom="column">
                  <wp:posOffset>4056380</wp:posOffset>
                </wp:positionH>
                <wp:positionV relativeFrom="paragraph">
                  <wp:posOffset>-1263650</wp:posOffset>
                </wp:positionV>
                <wp:extent cx="1019810" cy="0"/>
                <wp:wrapNone/>
                <wp:docPr id="70" name="Shape 7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019810" cy="4763"/>
                        </a:xfrm>
                        <a:prstGeom prst="line">
                          <a:avLst/>
                        </a:prstGeom>
                        <a:solidFill>
                          <a:srgbClr val="FFFFFF"/>
                        </a:solidFill>
                        <a:ln w="762">
                          <a:solidFill>
                            <a:srgbClr val="FFFFFF"/>
                          </a:solidFill>
                          <a:miter lim="800000"/>
                          <a:headEnd/>
                          <a:tailEnd/>
                        </a:ln>
                      </wps:spPr>
                      <wps:bodyPr/>
                    </wps:wsp>
                  </a:graphicData>
                </a:graphic>
              </wp:anchor>
            </w:drawing>
          </mc:Choice>
          <mc:Fallback>
            <w:pict>
              <v:line id="Shape 70" o:spid="_x0000_s109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9.4pt,-99.4999pt" to="399.7pt,-99.4999pt" o:allowincell="f" strokecolor="#FFFFFF" strokeweight="0.06pt"/>
            </w:pict>
          </mc:Fallback>
        </mc:AlternateContent>
        <mc:AlternateContent>
          <mc:Choice Requires="wps">
            <w:drawing>
              <wp:anchor simplePos="0" relativeHeight="251657728" behindDoc="1" locked="0" layoutInCell="0" allowOverlap="1">
                <wp:simplePos x="0" y="0"/>
                <wp:positionH relativeFrom="column">
                  <wp:posOffset>5085080</wp:posOffset>
                </wp:positionH>
                <wp:positionV relativeFrom="paragraph">
                  <wp:posOffset>-1263650</wp:posOffset>
                </wp:positionV>
                <wp:extent cx="1042035" cy="0"/>
                <wp:wrapNone/>
                <wp:docPr id="71" name="Shape 7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042035" cy="4763"/>
                        </a:xfrm>
                        <a:prstGeom prst="line">
                          <a:avLst/>
                        </a:prstGeom>
                        <a:solidFill>
                          <a:srgbClr val="FFFFFF"/>
                        </a:solidFill>
                        <a:ln w="761">
                          <a:solidFill>
                            <a:srgbClr val="FFFFFF"/>
                          </a:solidFill>
                          <a:miter lim="800000"/>
                          <a:headEnd/>
                          <a:tailEnd/>
                        </a:ln>
                      </wps:spPr>
                      <wps:bodyPr/>
                    </wps:wsp>
                  </a:graphicData>
                </a:graphic>
              </wp:anchor>
            </w:drawing>
          </mc:Choice>
          <mc:Fallback>
            <w:pict>
              <v:line id="Shape 71" o:spid="_x0000_s109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00.4pt,-99.4999pt" to="482.45pt,-99.4999pt" o:allowincell="f" strokecolor="#FFFFFF" strokeweight="0.0599pt"/>
            </w:pict>
          </mc:Fallback>
        </mc:AlternateContent>
        <mc:AlternateContent>
          <mc:Choice Requires="wps">
            <w:drawing>
              <wp:anchor simplePos="0" relativeHeight="251657728" behindDoc="1" locked="0" layoutInCell="0" allowOverlap="1">
                <wp:simplePos x="0" y="0"/>
                <wp:positionH relativeFrom="column">
                  <wp:posOffset>170180</wp:posOffset>
                </wp:positionH>
                <wp:positionV relativeFrom="paragraph">
                  <wp:posOffset>-845185</wp:posOffset>
                </wp:positionV>
                <wp:extent cx="3877310" cy="0"/>
                <wp:wrapNone/>
                <wp:docPr id="72" name="Shape 7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877310" cy="4763"/>
                        </a:xfrm>
                        <a:prstGeom prst="line">
                          <a:avLst/>
                        </a:prstGeom>
                        <a:solidFill>
                          <a:srgbClr val="FFFFFF"/>
                        </a:solidFill>
                        <a:ln w="761">
                          <a:solidFill>
                            <a:srgbClr val="FFFFFF"/>
                          </a:solidFill>
                          <a:miter lim="800000"/>
                          <a:headEnd/>
                          <a:tailEnd/>
                        </a:ln>
                      </wps:spPr>
                      <wps:bodyPr/>
                    </wps:wsp>
                  </a:graphicData>
                </a:graphic>
              </wp:anchor>
            </w:drawing>
          </mc:Choice>
          <mc:Fallback>
            <w:pict>
              <v:line id="Shape 72" o:spid="_x0000_s109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4pt,-66.5499pt" to="318.7pt,-66.5499pt" o:allowincell="f" strokecolor="#FFFFFF" strokeweight="0.0599pt"/>
            </w:pict>
          </mc:Fallback>
        </mc:AlternateContent>
        <mc:AlternateContent>
          <mc:Choice Requires="wps">
            <w:drawing>
              <wp:anchor simplePos="0" relativeHeight="251657728" behindDoc="1" locked="0" layoutInCell="0" allowOverlap="1">
                <wp:simplePos x="0" y="0"/>
                <wp:positionH relativeFrom="column">
                  <wp:posOffset>4045585</wp:posOffset>
                </wp:positionH>
                <wp:positionV relativeFrom="paragraph">
                  <wp:posOffset>-855980</wp:posOffset>
                </wp:positionV>
                <wp:extent cx="12700" cy="12700"/>
                <wp:wrapNone/>
                <wp:docPr id="73" name="Shape 7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w:pict>
              <v:rect id="Shape 73" o:spid="_x0000_s1098" style="position:absolute;margin-left:318.55pt;margin-top:-67.39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mc:AlternateContent>
          <mc:Choice Requires="wps">
            <w:drawing>
              <wp:anchor simplePos="0" relativeHeight="251657728" behindDoc="1" locked="0" layoutInCell="0" allowOverlap="1">
                <wp:simplePos x="0" y="0"/>
                <wp:positionH relativeFrom="column">
                  <wp:posOffset>4056380</wp:posOffset>
                </wp:positionH>
                <wp:positionV relativeFrom="paragraph">
                  <wp:posOffset>-845185</wp:posOffset>
                </wp:positionV>
                <wp:extent cx="1019810" cy="0"/>
                <wp:wrapNone/>
                <wp:docPr id="74" name="Shape 7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019810" cy="4763"/>
                        </a:xfrm>
                        <a:prstGeom prst="line">
                          <a:avLst/>
                        </a:prstGeom>
                        <a:solidFill>
                          <a:srgbClr val="FFFFFF"/>
                        </a:solidFill>
                        <a:ln w="761">
                          <a:solidFill>
                            <a:srgbClr val="FFFFFF"/>
                          </a:solidFill>
                          <a:miter lim="800000"/>
                          <a:headEnd/>
                          <a:tailEnd/>
                        </a:ln>
                      </wps:spPr>
                      <wps:bodyPr/>
                    </wps:wsp>
                  </a:graphicData>
                </a:graphic>
              </wp:anchor>
            </w:drawing>
          </mc:Choice>
          <mc:Fallback>
            <w:pict>
              <v:line id="Shape 74" o:spid="_x0000_s109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9.4pt,-66.5499pt" to="399.7pt,-66.5499pt" o:allowincell="f" strokecolor="#FFFFFF" strokeweight="0.0599pt"/>
            </w:pict>
          </mc:Fallback>
        </mc:AlternateContent>
        <mc:AlternateContent>
          <mc:Choice Requires="wps">
            <w:drawing>
              <wp:anchor simplePos="0" relativeHeight="251657728" behindDoc="1" locked="0" layoutInCell="0" allowOverlap="1">
                <wp:simplePos x="0" y="0"/>
                <wp:positionH relativeFrom="column">
                  <wp:posOffset>5085080</wp:posOffset>
                </wp:positionH>
                <wp:positionV relativeFrom="paragraph">
                  <wp:posOffset>-845185</wp:posOffset>
                </wp:positionV>
                <wp:extent cx="1042035" cy="0"/>
                <wp:wrapNone/>
                <wp:docPr id="75" name="Shape 7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042035" cy="4763"/>
                        </a:xfrm>
                        <a:prstGeom prst="line">
                          <a:avLst/>
                        </a:prstGeom>
                        <a:solidFill>
                          <a:srgbClr val="FFFFFF"/>
                        </a:solidFill>
                        <a:ln w="761">
                          <a:solidFill>
                            <a:srgbClr val="FFFFFF"/>
                          </a:solidFill>
                          <a:miter lim="800000"/>
                          <a:headEnd/>
                          <a:tailEnd/>
                        </a:ln>
                      </wps:spPr>
                      <wps:bodyPr/>
                    </wps:wsp>
                  </a:graphicData>
                </a:graphic>
              </wp:anchor>
            </w:drawing>
          </mc:Choice>
          <mc:Fallback>
            <w:pict>
              <v:line id="Shape 75" o:spid="_x0000_s110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00.4pt,-66.5499pt" to="482.45pt,-66.5499pt" o:allowincell="f" strokecolor="#FFFFFF" strokeweight="0.0599pt"/>
            </w:pict>
          </mc:Fallback>
        </mc:AlternateContent>
        <mc:AlternateContent>
          <mc:Choice Requires="wps">
            <w:drawing>
              <wp:anchor simplePos="0" relativeHeight="251657728" behindDoc="1" locked="0" layoutInCell="0" allowOverlap="1">
                <wp:simplePos x="0" y="0"/>
                <wp:positionH relativeFrom="column">
                  <wp:posOffset>170180</wp:posOffset>
                </wp:positionH>
                <wp:positionV relativeFrom="paragraph">
                  <wp:posOffset>-631190</wp:posOffset>
                </wp:positionV>
                <wp:extent cx="3877310" cy="0"/>
                <wp:wrapNone/>
                <wp:docPr id="76" name="Shape 7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877310" cy="4763"/>
                        </a:xfrm>
                        <a:prstGeom prst="line">
                          <a:avLst/>
                        </a:prstGeom>
                        <a:solidFill>
                          <a:srgbClr val="FFFFFF"/>
                        </a:solidFill>
                        <a:ln w="761">
                          <a:solidFill>
                            <a:srgbClr val="FFFFFF"/>
                          </a:solidFill>
                          <a:miter lim="800000"/>
                          <a:headEnd/>
                          <a:tailEnd/>
                        </a:ln>
                      </wps:spPr>
                      <wps:bodyPr/>
                    </wps:wsp>
                  </a:graphicData>
                </a:graphic>
              </wp:anchor>
            </w:drawing>
          </mc:Choice>
          <mc:Fallback>
            <w:pict>
              <v:line id="Shape 76" o:spid="_x0000_s110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4pt,-49.6999pt" to="318.7pt,-49.6999pt" o:allowincell="f" strokecolor="#FFFFFF" strokeweight="0.0599pt"/>
            </w:pict>
          </mc:Fallback>
        </mc:AlternateContent>
        <mc:AlternateContent>
          <mc:Choice Requires="wps">
            <w:drawing>
              <wp:anchor simplePos="0" relativeHeight="251657728" behindDoc="1" locked="0" layoutInCell="0" allowOverlap="1">
                <wp:simplePos x="0" y="0"/>
                <wp:positionH relativeFrom="column">
                  <wp:posOffset>4045585</wp:posOffset>
                </wp:positionH>
                <wp:positionV relativeFrom="paragraph">
                  <wp:posOffset>-641985</wp:posOffset>
                </wp:positionV>
                <wp:extent cx="12700" cy="12700"/>
                <wp:wrapNone/>
                <wp:docPr id="77" name="Shape 7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w:pict>
              <v:rect id="Shape 77" o:spid="_x0000_s1102" style="position:absolute;margin-left:318.55pt;margin-top:-50.5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mc:AlternateContent>
          <mc:Choice Requires="wps">
            <w:drawing>
              <wp:anchor simplePos="0" relativeHeight="251657728" behindDoc="1" locked="0" layoutInCell="0" allowOverlap="1">
                <wp:simplePos x="0" y="0"/>
                <wp:positionH relativeFrom="column">
                  <wp:posOffset>4056380</wp:posOffset>
                </wp:positionH>
                <wp:positionV relativeFrom="paragraph">
                  <wp:posOffset>-631190</wp:posOffset>
                </wp:positionV>
                <wp:extent cx="1019810" cy="0"/>
                <wp:wrapNone/>
                <wp:docPr id="78" name="Shape 7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019810" cy="4763"/>
                        </a:xfrm>
                        <a:prstGeom prst="line">
                          <a:avLst/>
                        </a:prstGeom>
                        <a:solidFill>
                          <a:srgbClr val="FFFFFF"/>
                        </a:solidFill>
                        <a:ln w="761">
                          <a:solidFill>
                            <a:srgbClr val="FFFFFF"/>
                          </a:solidFill>
                          <a:miter lim="800000"/>
                          <a:headEnd/>
                          <a:tailEnd/>
                        </a:ln>
                      </wps:spPr>
                      <wps:bodyPr/>
                    </wps:wsp>
                  </a:graphicData>
                </a:graphic>
              </wp:anchor>
            </w:drawing>
          </mc:Choice>
          <mc:Fallback>
            <w:pict>
              <v:line id="Shape 78" o:spid="_x0000_s110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9.4pt,-49.6999pt" to="399.7pt,-49.6999pt" o:allowincell="f" strokecolor="#FFFFFF" strokeweight="0.0599pt"/>
            </w:pict>
          </mc:Fallback>
        </mc:AlternateContent>
        <mc:AlternateContent>
          <mc:Choice Requires="wps">
            <w:drawing>
              <wp:anchor simplePos="0" relativeHeight="251657728" behindDoc="1" locked="0" layoutInCell="0" allowOverlap="1">
                <wp:simplePos x="0" y="0"/>
                <wp:positionH relativeFrom="column">
                  <wp:posOffset>5085080</wp:posOffset>
                </wp:positionH>
                <wp:positionV relativeFrom="paragraph">
                  <wp:posOffset>-631190</wp:posOffset>
                </wp:positionV>
                <wp:extent cx="1042035" cy="0"/>
                <wp:wrapNone/>
                <wp:docPr id="79" name="Shape 7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042035" cy="4763"/>
                        </a:xfrm>
                        <a:prstGeom prst="line">
                          <a:avLst/>
                        </a:prstGeom>
                        <a:solidFill>
                          <a:srgbClr val="FFFFFF"/>
                        </a:solidFill>
                        <a:ln w="761">
                          <a:solidFill>
                            <a:srgbClr val="FFFFFF"/>
                          </a:solidFill>
                          <a:miter lim="800000"/>
                          <a:headEnd/>
                          <a:tailEnd/>
                        </a:ln>
                      </wps:spPr>
                      <wps:bodyPr/>
                    </wps:wsp>
                  </a:graphicData>
                </a:graphic>
              </wp:anchor>
            </w:drawing>
          </mc:Choice>
          <mc:Fallback>
            <w:pict>
              <v:line id="Shape 79" o:spid="_x0000_s110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00.4pt,-49.6999pt" to="482.45pt,-49.6999pt" o:allowincell="f" strokecolor="#FFFFFF" strokeweight="0.0599pt"/>
            </w:pict>
          </mc:Fallback>
        </mc:AlternateContent>
        <mc:AlternateContent>
          <mc:Choice Requires="wps">
            <w:drawing>
              <wp:anchor simplePos="0" relativeHeight="251657728" behindDoc="1" locked="0" layoutInCell="0" allowOverlap="1">
                <wp:simplePos x="0" y="0"/>
                <wp:positionH relativeFrom="column">
                  <wp:posOffset>170180</wp:posOffset>
                </wp:positionH>
                <wp:positionV relativeFrom="paragraph">
                  <wp:posOffset>-212725</wp:posOffset>
                </wp:positionV>
                <wp:extent cx="3877310" cy="0"/>
                <wp:wrapNone/>
                <wp:docPr id="80" name="Shape 8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877310" cy="4763"/>
                        </a:xfrm>
                        <a:prstGeom prst="line">
                          <a:avLst/>
                        </a:prstGeom>
                        <a:solidFill>
                          <a:srgbClr val="FFFFFF"/>
                        </a:solidFill>
                        <a:ln w="761">
                          <a:solidFill>
                            <a:srgbClr val="FFFFFF"/>
                          </a:solidFill>
                          <a:miter lim="800000"/>
                          <a:headEnd/>
                          <a:tailEnd/>
                        </a:ln>
                      </wps:spPr>
                      <wps:bodyPr/>
                    </wps:wsp>
                  </a:graphicData>
                </a:graphic>
              </wp:anchor>
            </w:drawing>
          </mc:Choice>
          <mc:Fallback>
            <w:pict>
              <v:line id="Shape 80" o:spid="_x0000_s110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4pt,-16.7499pt" to="318.7pt,-16.7499pt" o:allowincell="f" strokecolor="#FFFFFF" strokeweight="0.0599pt"/>
            </w:pict>
          </mc:Fallback>
        </mc:AlternateContent>
        <mc:AlternateContent>
          <mc:Choice Requires="wps">
            <w:drawing>
              <wp:anchor simplePos="0" relativeHeight="251657728" behindDoc="1" locked="0" layoutInCell="0" allowOverlap="1">
                <wp:simplePos x="0" y="0"/>
                <wp:positionH relativeFrom="column">
                  <wp:posOffset>4045585</wp:posOffset>
                </wp:positionH>
                <wp:positionV relativeFrom="paragraph">
                  <wp:posOffset>-223520</wp:posOffset>
                </wp:positionV>
                <wp:extent cx="12700" cy="12700"/>
                <wp:wrapNone/>
                <wp:docPr id="81" name="Shape 8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w:pict>
              <v:rect id="Shape 81" o:spid="_x0000_s1106" style="position:absolute;margin-left:318.55pt;margin-top:-17.59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mc:AlternateContent>
          <mc:Choice Requires="wps">
            <w:drawing>
              <wp:anchor simplePos="0" relativeHeight="251657728" behindDoc="1" locked="0" layoutInCell="0" allowOverlap="1">
                <wp:simplePos x="0" y="0"/>
                <wp:positionH relativeFrom="column">
                  <wp:posOffset>4056380</wp:posOffset>
                </wp:positionH>
                <wp:positionV relativeFrom="paragraph">
                  <wp:posOffset>-212725</wp:posOffset>
                </wp:positionV>
                <wp:extent cx="1019810" cy="0"/>
                <wp:wrapNone/>
                <wp:docPr id="82" name="Shape 8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019810" cy="4763"/>
                        </a:xfrm>
                        <a:prstGeom prst="line">
                          <a:avLst/>
                        </a:prstGeom>
                        <a:solidFill>
                          <a:srgbClr val="FFFFFF"/>
                        </a:solidFill>
                        <a:ln w="761">
                          <a:solidFill>
                            <a:srgbClr val="FFFFFF"/>
                          </a:solidFill>
                          <a:miter lim="800000"/>
                          <a:headEnd/>
                          <a:tailEnd/>
                        </a:ln>
                      </wps:spPr>
                      <wps:bodyPr/>
                    </wps:wsp>
                  </a:graphicData>
                </a:graphic>
              </wp:anchor>
            </w:drawing>
          </mc:Choice>
          <mc:Fallback>
            <w:pict>
              <v:line id="Shape 82" o:spid="_x0000_s110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9.4pt,-16.7499pt" to="399.7pt,-16.7499pt" o:allowincell="f" strokecolor="#FFFFFF" strokeweight="0.0599pt"/>
            </w:pict>
          </mc:Fallback>
        </mc:AlternateContent>
        <mc:AlternateContent>
          <mc:Choice Requires="wps">
            <w:drawing>
              <wp:anchor simplePos="0" relativeHeight="251657728" behindDoc="1" locked="0" layoutInCell="0" allowOverlap="1">
                <wp:simplePos x="0" y="0"/>
                <wp:positionH relativeFrom="column">
                  <wp:posOffset>5074285</wp:posOffset>
                </wp:positionH>
                <wp:positionV relativeFrom="paragraph">
                  <wp:posOffset>-223520</wp:posOffset>
                </wp:positionV>
                <wp:extent cx="12700" cy="12700"/>
                <wp:wrapNone/>
                <wp:docPr id="83" name="Shape 8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w:pict>
              <v:rect id="Shape 83" o:spid="_x0000_s1108" style="position:absolute;margin-left:399.55pt;margin-top:-17.59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mc:AlternateContent>
          <mc:Choice Requires="wps">
            <w:drawing>
              <wp:anchor simplePos="0" relativeHeight="251657728" behindDoc="1" locked="0" layoutInCell="0" allowOverlap="1">
                <wp:simplePos x="0" y="0"/>
                <wp:positionH relativeFrom="column">
                  <wp:posOffset>5085080</wp:posOffset>
                </wp:positionH>
                <wp:positionV relativeFrom="paragraph">
                  <wp:posOffset>-212725</wp:posOffset>
                </wp:positionV>
                <wp:extent cx="1042035" cy="0"/>
                <wp:wrapNone/>
                <wp:docPr id="84" name="Shape 8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042035" cy="4763"/>
                        </a:xfrm>
                        <a:prstGeom prst="line">
                          <a:avLst/>
                        </a:prstGeom>
                        <a:solidFill>
                          <a:srgbClr val="FFFFFF"/>
                        </a:solidFill>
                        <a:ln w="761">
                          <a:solidFill>
                            <a:srgbClr val="FFFFFF"/>
                          </a:solidFill>
                          <a:miter lim="800000"/>
                          <a:headEnd/>
                          <a:tailEnd/>
                        </a:ln>
                      </wps:spPr>
                      <wps:bodyPr/>
                    </wps:wsp>
                  </a:graphicData>
                </a:graphic>
              </wp:anchor>
            </w:drawing>
          </mc:Choice>
          <mc:Fallback>
            <w:pict>
              <v:line id="Shape 84" o:spid="_x0000_s110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00.4pt,-16.7499pt" to="482.45pt,-16.7499pt" o:allowincell="f" strokecolor="#FFFFFF" strokeweight="0.0599pt"/>
            </w:pict>
          </mc:Fallback>
        </mc:AlternateContent>
        <mc:AlternateContent>
          <mc:Choice Requires="wps">
            <w:drawing>
              <wp:anchor simplePos="0" relativeHeight="251657728" behindDoc="1" locked="0" layoutInCell="0" allowOverlap="1">
                <wp:simplePos x="0" y="0"/>
                <wp:positionH relativeFrom="column">
                  <wp:posOffset>156210</wp:posOffset>
                </wp:positionH>
                <wp:positionV relativeFrom="paragraph">
                  <wp:posOffset>635</wp:posOffset>
                </wp:positionV>
                <wp:extent cx="5969635" cy="1226820"/>
                <wp:wrapNone/>
                <wp:docPr id="85" name="Shape 8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69635" cy="1226820"/>
                        </a:xfrm>
                        <a:prstGeom prst="rect">
                          <a:avLst/>
                        </a:prstGeom>
                        <a:solidFill>
                          <a:srgbClr val="FFFFFF"/>
                        </a:solidFill>
                      </wps:spPr>
                      <wps:bodyPr/>
                    </wps:wsp>
                  </a:graphicData>
                </a:graphic>
              </wp:anchor>
            </w:drawing>
          </mc:Choice>
          <mc:Fallback>
            <w:pict>
              <v:rect id="Shape 85" o:spid="_x0000_s1110" style="position:absolute;margin-left:12.3pt;margin-top:0.05pt;width:470.05pt;height:96.6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FFFFFF" stroked="f"/>
            </w:pict>
          </mc:Fallback>
        </mc:AlternateContent>
      </w:r>
    </w:p>
    <w:p>
      <w:pPr>
        <w:spacing w:after="0" w:line="282" w:lineRule="exact"/>
        <w:rPr>
          <w:sz w:val="20"/>
          <w:szCs w:val="20"/>
          <w:color w:val="auto"/>
        </w:rPr>
      </w:pPr>
    </w:p>
    <w:p>
      <w:pPr>
        <w:ind w:left="280" w:right="40" w:firstLine="702"/>
        <w:spacing w:after="0" w:line="239" w:lineRule="auto"/>
        <w:tabs>
          <w:tab w:leader="none" w:pos="1301" w:val="left"/>
        </w:tabs>
        <w:numPr>
          <w:ilvl w:val="0"/>
          <w:numId w:val="13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Насколько изменится ответ предыдущей задачи, если одновременно доходность государственных облигаций снизится на 5%?</w:t>
      </w:r>
    </w:p>
    <w:p>
      <w:pPr>
        <w:spacing w:after="0" w:line="1" w:lineRule="exact"/>
        <w:rPr>
          <w:rFonts w:ascii="Times New Roman" w:cs="Times New Roman" w:eastAsia="Times New Roman" w:hAnsi="Times New Roman"/>
          <w:sz w:val="28"/>
          <w:szCs w:val="28"/>
          <w:color w:val="auto"/>
        </w:rPr>
      </w:pPr>
    </w:p>
    <w:p>
      <w:pPr>
        <w:ind w:left="980" w:right="5900"/>
        <w:spacing w:after="0" w:line="255"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а) уменьшится на 5%; б) увеличится на 5%; в) увеличится на 5,3%;</w:t>
      </w:r>
    </w:p>
    <w:p>
      <w:pPr>
        <w:sectPr>
          <w:pgSz w:w="11900" w:h="16840" w:orient="portrait"/>
          <w:cols w:equalWidth="0" w:num="1">
            <w:col w:w="9660"/>
          </w:cols>
          <w:pgMar w:left="1440" w:top="1112" w:right="804" w:bottom="163" w:gutter="0" w:footer="0" w:header="0"/>
        </w:sectPr>
      </w:pPr>
    </w:p>
    <w:p>
      <w:pPr>
        <w:spacing w:after="0" w:line="392" w:lineRule="exact"/>
        <w:rPr>
          <w:sz w:val="20"/>
          <w:szCs w:val="20"/>
          <w:color w:val="auto"/>
        </w:rPr>
      </w:pPr>
    </w:p>
    <w:p>
      <w:pPr>
        <w:ind w:left="9380"/>
        <w:spacing w:after="0"/>
        <w:rPr>
          <w:sz w:val="20"/>
          <w:szCs w:val="20"/>
          <w:color w:val="auto"/>
        </w:rPr>
      </w:pPr>
      <w:r>
        <w:rPr>
          <w:rFonts w:ascii="Times New Roman" w:cs="Times New Roman" w:eastAsia="Times New Roman" w:hAnsi="Times New Roman"/>
          <w:sz w:val="24"/>
          <w:szCs w:val="24"/>
          <w:color w:val="auto"/>
        </w:rPr>
        <w:t>63</w:t>
      </w:r>
    </w:p>
    <w:p>
      <w:pPr>
        <w:sectPr>
          <w:pgSz w:w="11900" w:h="16840" w:orient="portrait"/>
          <w:cols w:equalWidth="0" w:num="1">
            <w:col w:w="9660"/>
          </w:cols>
          <w:pgMar w:left="1440" w:top="1112" w:right="804" w:bottom="163" w:gutter="0" w:footer="0" w:header="0"/>
          <w:type w:val="continuous"/>
        </w:sectPr>
      </w:pPr>
    </w:p>
    <w:p>
      <w:pPr>
        <w:ind w:left="980"/>
        <w:spacing w:after="0"/>
        <w:rPr>
          <w:sz w:val="20"/>
          <w:szCs w:val="20"/>
          <w:color w:val="auto"/>
        </w:rPr>
      </w:pPr>
      <w:r>
        <w:rPr>
          <w:rFonts w:ascii="Times New Roman" w:cs="Times New Roman" w:eastAsia="Times New Roman" w:hAnsi="Times New Roman"/>
          <w:sz w:val="28"/>
          <w:szCs w:val="28"/>
          <w:color w:val="auto"/>
        </w:rPr>
        <w:t>г) уменьшится на 5,3%;</w:t>
      </w:r>
    </w:p>
    <w:p>
      <w:pPr>
        <w:ind w:left="980"/>
        <w:spacing w:after="0"/>
        <w:rPr>
          <w:sz w:val="20"/>
          <w:szCs w:val="20"/>
          <w:color w:val="auto"/>
        </w:rPr>
      </w:pPr>
      <w:r>
        <w:rPr>
          <w:rFonts w:ascii="Times New Roman" w:cs="Times New Roman" w:eastAsia="Times New Roman" w:hAnsi="Times New Roman"/>
          <w:sz w:val="28"/>
          <w:szCs w:val="28"/>
          <w:color w:val="auto"/>
        </w:rPr>
        <w:t>д) не изменится;</w:t>
      </w:r>
    </w:p>
    <w:p>
      <w:pPr>
        <w:spacing w:after="0" w:line="1" w:lineRule="exact"/>
        <w:rPr>
          <w:sz w:val="20"/>
          <w:szCs w:val="20"/>
          <w:color w:val="auto"/>
        </w:rPr>
      </w:pPr>
    </w:p>
    <w:p>
      <w:pPr>
        <w:ind w:left="980"/>
        <w:spacing w:after="0"/>
        <w:rPr>
          <w:sz w:val="20"/>
          <w:szCs w:val="20"/>
          <w:color w:val="auto"/>
        </w:rPr>
      </w:pPr>
      <w:r>
        <w:rPr>
          <w:rFonts w:ascii="Times New Roman" w:cs="Times New Roman" w:eastAsia="Times New Roman" w:hAnsi="Times New Roman"/>
          <w:sz w:val="28"/>
          <w:szCs w:val="28"/>
          <w:color w:val="auto"/>
        </w:rPr>
        <w:t>е) нельзя сказать с определенностью.</w:t>
      </w:r>
    </w:p>
    <w:p>
      <w:pPr>
        <w:spacing w:after="0" w:line="321" w:lineRule="exact"/>
        <w:rPr>
          <w:sz w:val="20"/>
          <w:szCs w:val="20"/>
          <w:color w:val="auto"/>
        </w:rPr>
      </w:pPr>
    </w:p>
    <w:p>
      <w:pPr>
        <w:jc w:val="both"/>
        <w:ind w:left="280" w:firstLine="702"/>
        <w:spacing w:after="0" w:line="243" w:lineRule="auto"/>
        <w:tabs>
          <w:tab w:leader="none" w:pos="1299" w:val="left"/>
        </w:tabs>
        <w:numPr>
          <w:ilvl w:val="0"/>
          <w:numId w:val="13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Рассчитать вероятное повышение рыночной стоимости предприятия, которое может произойти в результате того, что предприятие завершило составление глубоко проработанного бизнес-плана инновационного проекта, реально способного уже через год повысить годовые прибыли фирмы (П) до 1 300 000 руб., если также известно, что чистые материальные активы (ЧМА) предприятия, согласно оценке их рыночной стоимости, составляют 1 600 000 руб.; коэффициент съема прибыли с чистых материальных активов в отрасли равен 0,30; рекомендуемый коэффициент капитализации (i), учитывающий риски осваиваемого в проекте бизнеса, равен 0,45.</w:t>
      </w:r>
    </w:p>
    <w:p>
      <w:pPr>
        <w:spacing w:after="0" w:line="285" w:lineRule="exact"/>
        <w:rPr>
          <w:rFonts w:ascii="Times New Roman" w:cs="Times New Roman" w:eastAsia="Times New Roman" w:hAnsi="Times New Roman"/>
          <w:sz w:val="28"/>
          <w:szCs w:val="28"/>
          <w:color w:val="auto"/>
        </w:rPr>
      </w:pPr>
    </w:p>
    <w:p>
      <w:pPr>
        <w:jc w:val="both"/>
        <w:ind w:left="280" w:firstLine="702"/>
        <w:spacing w:after="0" w:line="247" w:lineRule="auto"/>
        <w:tabs>
          <w:tab w:leader="none" w:pos="1314" w:val="left"/>
        </w:tabs>
        <w:numPr>
          <w:ilvl w:val="0"/>
          <w:numId w:val="13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Оценить, какой будет рыночная стоимость компании через 3 года, если она реализует инвестиционный проект, позволяющий рассчитывать на то, что чистая прибыль предприятия к этому времени повысится до 200 000 руб. В отрасли, к которой принадлежит компания, наблюдается стабилизировавшийся коэффициент «Цена/Прибыль» (Ц/П), равный 7,0.</w:t>
      </w:r>
    </w:p>
    <w:p>
      <w:pPr>
        <w:spacing w:after="0" w:line="275" w:lineRule="exact"/>
        <w:rPr>
          <w:rFonts w:ascii="Times New Roman" w:cs="Times New Roman" w:eastAsia="Times New Roman" w:hAnsi="Times New Roman"/>
          <w:sz w:val="28"/>
          <w:szCs w:val="28"/>
          <w:color w:val="auto"/>
        </w:rPr>
      </w:pPr>
    </w:p>
    <w:p>
      <w:pPr>
        <w:jc w:val="both"/>
        <w:ind w:left="280" w:firstLine="702"/>
        <w:spacing w:after="0" w:line="227" w:lineRule="auto"/>
        <w:tabs>
          <w:tab w:leader="none" w:pos="1253" w:val="left"/>
        </w:tabs>
        <w:numPr>
          <w:ilvl w:val="0"/>
          <w:numId w:val="13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Докажите, что для инвестора, привлекаемого в качестве соучредителя на 35% (d</w:t>
      </w:r>
      <w:r>
        <w:rPr>
          <w:rFonts w:ascii="Times New Roman" w:cs="Times New Roman" w:eastAsia="Times New Roman" w:hAnsi="Times New Roman"/>
          <w:sz w:val="36"/>
          <w:szCs w:val="36"/>
          <w:color w:val="auto"/>
          <w:vertAlign w:val="subscript"/>
        </w:rPr>
        <w:t>naк</w:t>
      </w:r>
      <w:r>
        <w:rPr>
          <w:rFonts w:ascii="Times New Roman" w:cs="Times New Roman" w:eastAsia="Times New Roman" w:hAnsi="Times New Roman"/>
          <w:sz w:val="28"/>
          <w:szCs w:val="28"/>
          <w:color w:val="auto"/>
        </w:rPr>
        <w:t>) уставного капитала в дочернюю компанию, которая учреждается для реализации инновационного проекта, его капиталовложение является эффективным, если известно, что:</w:t>
      </w:r>
    </w:p>
    <w:p>
      <w:pPr>
        <w:spacing w:after="0" w:line="2" w:lineRule="exact"/>
        <w:rPr>
          <w:rFonts w:ascii="Times New Roman" w:cs="Times New Roman" w:eastAsia="Times New Roman" w:hAnsi="Times New Roman"/>
          <w:sz w:val="28"/>
          <w:szCs w:val="28"/>
          <w:color w:val="auto"/>
        </w:rPr>
      </w:pPr>
    </w:p>
    <w:p>
      <w:pPr>
        <w:ind w:left="980"/>
        <w:spacing w:after="0"/>
        <w:rPr>
          <w:rFonts w:ascii="Times New Roman" w:cs="Times New Roman" w:eastAsia="Times New Roman" w:hAnsi="Times New Roman"/>
          <w:sz w:val="28"/>
          <w:szCs w:val="28"/>
          <w:color w:val="auto"/>
        </w:rPr>
      </w:pPr>
      <w:r>
        <w:rPr>
          <w:rFonts w:ascii="Symbol" w:cs="Symbol" w:eastAsia="Symbol" w:hAnsi="Symbol"/>
          <w:sz w:val="28"/>
          <w:szCs w:val="28"/>
          <w:color w:val="auto"/>
        </w:rPr>
        <w:t></w:t>
      </w:r>
      <w:r>
        <w:rPr>
          <w:rFonts w:ascii="Times New Roman" w:cs="Times New Roman" w:eastAsia="Times New Roman" w:hAnsi="Times New Roman"/>
          <w:sz w:val="28"/>
          <w:szCs w:val="28"/>
          <w:color w:val="auto"/>
        </w:rPr>
        <w:t xml:space="preserve">  данный инвестор обычно вкладывает средства на три года;</w:t>
      </w:r>
    </w:p>
    <w:p>
      <w:pPr>
        <w:jc w:val="right"/>
        <w:ind w:left="1340" w:hanging="360"/>
        <w:spacing w:after="0" w:line="232" w:lineRule="auto"/>
        <w:rPr>
          <w:rFonts w:ascii="Times New Roman" w:cs="Times New Roman" w:eastAsia="Times New Roman" w:hAnsi="Times New Roman"/>
          <w:sz w:val="28"/>
          <w:szCs w:val="28"/>
          <w:color w:val="auto"/>
        </w:rPr>
      </w:pPr>
      <w:r>
        <w:rPr>
          <w:rFonts w:ascii="Symbol" w:cs="Symbol" w:eastAsia="Symbol" w:hAnsi="Symbol"/>
          <w:sz w:val="28"/>
          <w:szCs w:val="28"/>
          <w:color w:val="auto"/>
        </w:rPr>
        <w:t></w:t>
      </w:r>
      <w:r>
        <w:rPr>
          <w:rFonts w:ascii="Times New Roman" w:cs="Times New Roman" w:eastAsia="Times New Roman" w:hAnsi="Times New Roman"/>
          <w:sz w:val="28"/>
          <w:szCs w:val="28"/>
          <w:color w:val="auto"/>
        </w:rPr>
        <w:t xml:space="preserve">  денежные  потоки  по  инновационному  проекту  предприятия ожидаются на уровне: стартовые инвестиции - 2 000 000 руб.; 1-</w:t>
      </w:r>
    </w:p>
    <w:p>
      <w:pPr>
        <w:ind w:left="1340" w:firstLine="2"/>
        <w:spacing w:after="0" w:line="247" w:lineRule="auto"/>
        <w:tabs>
          <w:tab w:leader="none" w:pos="1558" w:val="left"/>
        </w:tabs>
        <w:numPr>
          <w:ilvl w:val="1"/>
          <w:numId w:val="13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год - 70 000 руб.; 2-й год - 300 000 руб.; 3-й год - 2 500 000 руб.; 4-й год - 2 500 000 руб.; 5-й год - 3 200 000 руб.;</w:t>
      </w:r>
    </w:p>
    <w:p>
      <w:pPr>
        <w:spacing w:after="0" w:line="2" w:lineRule="exact"/>
        <w:rPr>
          <w:sz w:val="20"/>
          <w:szCs w:val="20"/>
          <w:color w:val="auto"/>
        </w:rPr>
      </w:pPr>
    </w:p>
    <w:p>
      <w:pPr>
        <w:ind w:left="1340" w:hanging="358"/>
        <w:spacing w:after="0" w:line="232" w:lineRule="auto"/>
        <w:tabs>
          <w:tab w:leader="none" w:pos="1340" w:val="left"/>
        </w:tabs>
        <w:numPr>
          <w:ilvl w:val="0"/>
          <w:numId w:val="132"/>
        </w:numPr>
        <w:rPr>
          <w:rFonts w:ascii="Symbol" w:cs="Symbol" w:eastAsia="Symbol" w:hAnsi="Symbol"/>
          <w:sz w:val="28"/>
          <w:szCs w:val="28"/>
          <w:color w:val="auto"/>
        </w:rPr>
      </w:pPr>
      <w:r>
        <w:rPr>
          <w:rFonts w:ascii="Times New Roman" w:cs="Times New Roman" w:eastAsia="Times New Roman" w:hAnsi="Times New Roman"/>
          <w:sz w:val="28"/>
          <w:szCs w:val="28"/>
          <w:color w:val="auto"/>
        </w:rPr>
        <w:t>приемлемая с учетом премии за риски осваиваемого бизнеса ставка дисконта составляет 0,4.</w:t>
      </w:r>
    </w:p>
    <w:p>
      <w:pPr>
        <w:jc w:val="both"/>
        <w:ind w:left="280" w:firstLine="706"/>
        <w:spacing w:after="0" w:line="255" w:lineRule="auto"/>
        <w:rPr>
          <w:sz w:val="20"/>
          <w:szCs w:val="20"/>
          <w:color w:val="auto"/>
        </w:rPr>
      </w:pPr>
      <w:r>
        <w:rPr>
          <w:rFonts w:ascii="Times New Roman" w:cs="Times New Roman" w:eastAsia="Times New Roman" w:hAnsi="Times New Roman"/>
          <w:sz w:val="28"/>
          <w:szCs w:val="28"/>
          <w:color w:val="auto"/>
        </w:rPr>
        <w:t>Инвестор не рассчитывает на дивиденды от учреждаемой компании. Он планирует получить свой единственный доход на перепродаже приобретаемого пакета акций.</w:t>
      </w:r>
    </w:p>
    <w:p>
      <w:pPr>
        <w:spacing w:after="0" w:line="261" w:lineRule="exact"/>
        <w:rPr>
          <w:sz w:val="20"/>
          <w:szCs w:val="20"/>
          <w:color w:val="auto"/>
        </w:rPr>
      </w:pPr>
    </w:p>
    <w:p>
      <w:pPr>
        <w:jc w:val="both"/>
        <w:ind w:left="280" w:firstLine="702"/>
        <w:spacing w:after="0" w:line="239" w:lineRule="auto"/>
        <w:tabs>
          <w:tab w:leader="none" w:pos="1397" w:val="left"/>
        </w:tabs>
        <w:numPr>
          <w:ilvl w:val="0"/>
          <w:numId w:val="13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Чему должно равняться обоснованное соотношение Н обмена акциями при слиянии компании X с компанией Y, если известно, что обоснованная рыночная (оценочная) стоимость закрытой компании X равна 250 000 000 руб., а рыночная стоимость одной ликвидной акции открытой компании Y составляет 20 руб. Общее количество акций компании Y - 1 млн. Компанией выкуплено с рынка и выведено из обращения (не предлагается к продаже) 500 000 акций, выпущено, но не размещено на фондовом рынке</w:t>
      </w:r>
    </w:p>
    <w:p>
      <w:pPr>
        <w:spacing w:after="0" w:line="9" w:lineRule="exact"/>
        <w:rPr>
          <w:rFonts w:ascii="Times New Roman" w:cs="Times New Roman" w:eastAsia="Times New Roman" w:hAnsi="Times New Roman"/>
          <w:sz w:val="28"/>
          <w:szCs w:val="28"/>
          <w:color w:val="auto"/>
        </w:rPr>
      </w:pPr>
    </w:p>
    <w:p>
      <w:pPr>
        <w:ind w:left="28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125 000 акций.</w:t>
      </w:r>
    </w:p>
    <w:p>
      <w:pPr>
        <w:sectPr>
          <w:pgSz w:w="11900" w:h="16840" w:orient="portrait"/>
          <w:cols w:equalWidth="0" w:num="1">
            <w:col w:w="9620"/>
          </w:cols>
          <w:pgMar w:left="1440" w:top="1112" w:right="844" w:bottom="16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ind w:left="9380"/>
        <w:spacing w:after="0"/>
        <w:rPr>
          <w:sz w:val="20"/>
          <w:szCs w:val="20"/>
          <w:color w:val="auto"/>
        </w:rPr>
      </w:pPr>
      <w:r>
        <w:rPr>
          <w:rFonts w:ascii="Times New Roman" w:cs="Times New Roman" w:eastAsia="Times New Roman" w:hAnsi="Times New Roman"/>
          <w:sz w:val="24"/>
          <w:szCs w:val="24"/>
          <w:color w:val="auto"/>
        </w:rPr>
        <w:t>64</w:t>
      </w:r>
    </w:p>
    <w:p>
      <w:pPr>
        <w:sectPr>
          <w:pgSz w:w="11900" w:h="16840" w:orient="portrait"/>
          <w:cols w:equalWidth="0" w:num="1">
            <w:col w:w="9620"/>
          </w:cols>
          <w:pgMar w:left="1440" w:top="1112" w:right="844" w:bottom="163" w:gutter="0" w:footer="0" w:header="0"/>
          <w:type w:val="continuous"/>
        </w:sectPr>
      </w:pPr>
    </w:p>
    <w:p>
      <w:pPr>
        <w:jc w:val="both"/>
        <w:ind w:left="280" w:firstLine="702"/>
        <w:spacing w:after="0"/>
        <w:tabs>
          <w:tab w:leader="none" w:pos="1283" w:val="left"/>
        </w:tabs>
        <w:numPr>
          <w:ilvl w:val="0"/>
          <w:numId w:val="13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Какой из двух предложенных ниже вариантов предприятия является более предпочтительным с точки зрения ликвидации угрозы банкротства? Коэффициент текущей ликвидности предприятия равен 0,6. Краткосрочная задолженность фирмы составляет 700 000 руб. и не меняется со временем в обоих вариантах.</w:t>
      </w:r>
    </w:p>
    <w:p>
      <w:pPr>
        <w:ind w:left="280" w:firstLine="706"/>
        <w:spacing w:after="0" w:line="239"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Вариант 1. Продажа недвижимости и оборудования с вероятной выручкой от этого на сумму в 500 000 руб.</w:t>
      </w:r>
    </w:p>
    <w:p>
      <w:pPr>
        <w:spacing w:after="0" w:line="1" w:lineRule="exact"/>
        <w:rPr>
          <w:rFonts w:ascii="Times New Roman" w:cs="Times New Roman" w:eastAsia="Times New Roman" w:hAnsi="Times New Roman"/>
          <w:sz w:val="28"/>
          <w:szCs w:val="28"/>
          <w:color w:val="auto"/>
        </w:rPr>
      </w:pPr>
    </w:p>
    <w:p>
      <w:pPr>
        <w:jc w:val="both"/>
        <w:ind w:left="280" w:firstLine="706"/>
        <w:spacing w:after="0" w:line="24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Вариант 2. В течение того же времени освоение новой имеющей спрос продукции и получение от продаж чистой прибыли в 350 000 руб. При этом необходимые для освоения указанной продукции инвестиции равны 150 000 руб. и финансируются из выручки от продажи избыточных для выпуска данной продукции недвижимости и оборудования.</w:t>
      </w:r>
    </w:p>
    <w:p>
      <w:pPr>
        <w:sectPr>
          <w:pgSz w:w="11900" w:h="16840" w:orient="portrait"/>
          <w:cols w:equalWidth="0" w:num="1">
            <w:col w:w="9620"/>
          </w:cols>
          <w:pgMar w:left="1440" w:top="1112" w:right="844" w:bottom="16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4" w:lineRule="exact"/>
        <w:rPr>
          <w:sz w:val="20"/>
          <w:szCs w:val="20"/>
          <w:color w:val="auto"/>
        </w:rPr>
      </w:pPr>
    </w:p>
    <w:p>
      <w:pPr>
        <w:ind w:left="9380"/>
        <w:spacing w:after="0"/>
        <w:rPr>
          <w:sz w:val="20"/>
          <w:szCs w:val="20"/>
          <w:color w:val="auto"/>
        </w:rPr>
      </w:pPr>
      <w:r>
        <w:rPr>
          <w:rFonts w:ascii="Times New Roman" w:cs="Times New Roman" w:eastAsia="Times New Roman" w:hAnsi="Times New Roman"/>
          <w:sz w:val="24"/>
          <w:szCs w:val="24"/>
          <w:color w:val="auto"/>
        </w:rPr>
        <w:t>65</w:t>
      </w:r>
    </w:p>
    <w:p>
      <w:pPr>
        <w:sectPr>
          <w:pgSz w:w="11900" w:h="16840" w:orient="portrait"/>
          <w:cols w:equalWidth="0" w:num="1">
            <w:col w:w="9620"/>
          </w:cols>
          <w:pgMar w:left="1440" w:top="1112" w:right="844" w:bottom="163" w:gutter="0" w:footer="0" w:header="0"/>
          <w:type w:val="continuous"/>
        </w:sectPr>
      </w:pPr>
    </w:p>
    <w:p>
      <w:pPr>
        <w:ind w:left="3580" w:hanging="370"/>
        <w:spacing w:after="0"/>
        <w:tabs>
          <w:tab w:leader="none" w:pos="3580" w:val="left"/>
        </w:tabs>
        <w:numPr>
          <w:ilvl w:val="1"/>
          <w:numId w:val="13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СПИСОК ЛИТЕРАТУРЫ</w:t>
      </w:r>
    </w:p>
    <w:p>
      <w:pPr>
        <w:spacing w:after="0" w:line="275" w:lineRule="exact"/>
        <w:rPr>
          <w:rFonts w:ascii="Times New Roman" w:cs="Times New Roman" w:eastAsia="Times New Roman" w:hAnsi="Times New Roman"/>
          <w:sz w:val="28"/>
          <w:szCs w:val="28"/>
          <w:color w:val="auto"/>
        </w:rPr>
      </w:pPr>
    </w:p>
    <w:p>
      <w:pPr>
        <w:ind w:left="620" w:hanging="358"/>
        <w:spacing w:after="0"/>
        <w:tabs>
          <w:tab w:leader="none" w:pos="620" w:val="left"/>
        </w:tabs>
        <w:numPr>
          <w:ilvl w:val="0"/>
          <w:numId w:val="13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Бланк И.А. Основы финансового менеджмента. Т.1-2. – К.: Ника-Центр, 1999. – 592 с, 512 с.</w:t>
      </w:r>
    </w:p>
    <w:p>
      <w:pPr>
        <w:ind w:left="620" w:hanging="358"/>
        <w:spacing w:after="0"/>
        <w:tabs>
          <w:tab w:leader="none" w:pos="620" w:val="left"/>
        </w:tabs>
        <w:numPr>
          <w:ilvl w:val="0"/>
          <w:numId w:val="13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Валдайцев С.В. Оценка бизнеса и управление стоимостью предприятия: Учеб. пособие для вузов. – М.: ЮНИТИ-ДАНА, 2001. – 720 с.</w:t>
      </w:r>
    </w:p>
    <w:p>
      <w:pPr>
        <w:ind w:left="620" w:hanging="358"/>
        <w:spacing w:after="0" w:line="239" w:lineRule="auto"/>
        <w:tabs>
          <w:tab w:leader="none" w:pos="620" w:val="left"/>
        </w:tabs>
        <w:numPr>
          <w:ilvl w:val="0"/>
          <w:numId w:val="13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Валдайцев С.В. Оценка бизнеса: Учебник. – М.: ТК Велби, Изд-во Проспект, 2004. – 360 с.</w:t>
      </w:r>
    </w:p>
    <w:p>
      <w:pPr>
        <w:spacing w:after="0" w:line="1" w:lineRule="exact"/>
        <w:rPr>
          <w:rFonts w:ascii="Times New Roman" w:cs="Times New Roman" w:eastAsia="Times New Roman" w:hAnsi="Times New Roman"/>
          <w:sz w:val="28"/>
          <w:szCs w:val="28"/>
          <w:color w:val="auto"/>
        </w:rPr>
      </w:pPr>
    </w:p>
    <w:p>
      <w:pPr>
        <w:jc w:val="both"/>
        <w:ind w:left="620" w:hanging="358"/>
        <w:spacing w:after="0"/>
        <w:tabs>
          <w:tab w:leader="none" w:pos="620" w:val="left"/>
        </w:tabs>
        <w:numPr>
          <w:ilvl w:val="0"/>
          <w:numId w:val="13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Виленский П.Л. Оценка эффективности инвестиционных проектов: Теория и практика: Учеб.-практ. пособие / П.Л. Виленский, В.Н. Лившиц,</w:t>
      </w:r>
    </w:p>
    <w:p>
      <w:pPr>
        <w:ind w:left="62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С.А. Смоляк. М.: Дело, 2001. 832 с.</w:t>
      </w:r>
    </w:p>
    <w:p>
      <w:pPr>
        <w:ind w:left="620" w:hanging="359"/>
        <w:spacing w:after="0"/>
        <w:tabs>
          <w:tab w:leader="none" w:pos="620" w:val="left"/>
        </w:tabs>
        <w:numPr>
          <w:ilvl w:val="0"/>
          <w:numId w:val="13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Григорьев В.В., Островкин И.М. Оценка предприятий. Имущественный подход. Учебно-практическое пособие. – М.: Дело, 1998. – 224 с.</w:t>
      </w:r>
    </w:p>
    <w:p>
      <w:pPr>
        <w:ind w:left="620" w:hanging="359"/>
        <w:spacing w:after="0"/>
        <w:tabs>
          <w:tab w:leader="none" w:pos="620" w:val="left"/>
        </w:tabs>
        <w:numPr>
          <w:ilvl w:val="0"/>
          <w:numId w:val="13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Григорьев В.В., Федотова М.А. Оценка предприятия: теория и практика. –</w:t>
      </w:r>
    </w:p>
    <w:p>
      <w:pPr>
        <w:ind w:left="62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М.: ИНФРА-М, 1997.</w:t>
      </w:r>
    </w:p>
    <w:p>
      <w:pPr>
        <w:ind w:left="620" w:hanging="358"/>
        <w:spacing w:after="0"/>
        <w:tabs>
          <w:tab w:leader="none" w:pos="620" w:val="left"/>
        </w:tabs>
        <w:numPr>
          <w:ilvl w:val="0"/>
          <w:numId w:val="13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Грязнова А.Г., Федотова М.А. Оценка бизнеса. – М.: Финансы и статистика, 2004. – 736 с.</w:t>
      </w:r>
    </w:p>
    <w:p>
      <w:pPr>
        <w:ind w:left="620" w:hanging="358"/>
        <w:spacing w:after="0"/>
        <w:tabs>
          <w:tab w:leader="none" w:pos="620" w:val="left"/>
        </w:tabs>
        <w:numPr>
          <w:ilvl w:val="0"/>
          <w:numId w:val="13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Есипов В., Маховикова Г., Терехова В. Оценка бизнеса. – СПб.: Питер, 2003. – 416 с.</w:t>
      </w:r>
    </w:p>
    <w:p>
      <w:pPr>
        <w:jc w:val="both"/>
        <w:ind w:left="620" w:hanging="358"/>
        <w:spacing w:after="0"/>
        <w:tabs>
          <w:tab w:leader="none" w:pos="620" w:val="left"/>
        </w:tabs>
        <w:numPr>
          <w:ilvl w:val="0"/>
          <w:numId w:val="13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Методические рекомендации по оценке эффективности инвестиционных проектов; Сост: В.В. Коссов, В.Н. Лившиц, А.Г. Шахназаров – М.: Экономика, 2000. 421 с.</w:t>
      </w:r>
    </w:p>
    <w:p>
      <w:pPr>
        <w:ind w:left="260"/>
        <w:spacing w:after="0"/>
        <w:rPr>
          <w:sz w:val="20"/>
          <w:szCs w:val="20"/>
          <w:color w:val="auto"/>
        </w:rPr>
      </w:pPr>
      <w:r>
        <w:rPr>
          <w:rFonts w:ascii="Times New Roman" w:cs="Times New Roman" w:eastAsia="Times New Roman" w:hAnsi="Times New Roman"/>
          <w:sz w:val="28"/>
          <w:szCs w:val="28"/>
          <w:color w:val="auto"/>
        </w:rPr>
        <w:t>10. Шеннон, П. Пратт. Оценка бизнеса. Анализ и оценка закрытых компаний.</w:t>
      </w:r>
    </w:p>
    <w:p>
      <w:pPr>
        <w:ind w:left="780" w:hanging="158"/>
        <w:spacing w:after="0"/>
        <w:tabs>
          <w:tab w:leader="none" w:pos="780" w:val="left"/>
        </w:tabs>
        <w:numPr>
          <w:ilvl w:val="0"/>
          <w:numId w:val="13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М.: Ин-т Экономического развития Всемирного Банка, 1995. – 346 с.</w:t>
      </w:r>
    </w:p>
    <w:p>
      <w:pPr>
        <w:sectPr>
          <w:pgSz w:w="11900" w:h="16840" w:orient="portrait"/>
          <w:cols w:equalWidth="0" w:num="1">
            <w:col w:w="9620"/>
          </w:cols>
          <w:pgMar w:left="1440" w:top="1112" w:right="844" w:bottom="16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ind w:left="9380"/>
        <w:spacing w:after="0"/>
        <w:rPr>
          <w:sz w:val="20"/>
          <w:szCs w:val="20"/>
          <w:color w:val="auto"/>
        </w:rPr>
      </w:pPr>
      <w:r>
        <w:rPr>
          <w:rFonts w:ascii="Times New Roman" w:cs="Times New Roman" w:eastAsia="Times New Roman" w:hAnsi="Times New Roman"/>
          <w:sz w:val="24"/>
          <w:szCs w:val="24"/>
          <w:color w:val="auto"/>
        </w:rPr>
        <w:t>66</w:t>
      </w:r>
    </w:p>
    <w:p>
      <w:pPr>
        <w:sectPr>
          <w:pgSz w:w="11900" w:h="16840" w:orient="portrait"/>
          <w:cols w:equalWidth="0" w:num="1">
            <w:col w:w="9620"/>
          </w:cols>
          <w:pgMar w:left="1440" w:top="1112" w:right="844" w:bottom="163" w:gutter="0" w:footer="0" w:header="0"/>
          <w:type w:val="continuous"/>
        </w:sectPr>
      </w:pPr>
    </w:p>
    <w:sectPr>
      <w:pgSz w:w="11904" w:h="16840" w:orient="portrait"/>
      <w:cols w:equalWidth="1" w:num="1" w:space="0"/>
      <w:pgMar w:left="1440" w:top="1440"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0"/>
    <w:family w:val="roman"/>
    <w:pitch w:val="variable"/>
    <w:sig w:usb0="00000000" w:usb1="00000000" w:usb2="00000000" w:usb3="00000000" w:csb0="80000000" w:csb1="00000000"/>
  </w:font>
</w:fonts>
</file>

<file path=word/numbering.xml><?xml version="1.0" encoding="utf-8"?>
<w:numbering xmlns:w="http://schemas.openxmlformats.org/wordprocessingml/2006/main">
  <w:abstractNum w:abstractNumId="0">
    <w:nsid w:val="75EF"/>
    <w:multiLevelType w:val="hybridMultilevel"/>
    <w:lvl w:ilvl="0">
      <w:lvlJc w:val="left"/>
      <w:lvlText w:val="%1."/>
      <w:numFmt w:val="decimal"/>
      <w:start w:val="4"/>
    </w:lvl>
  </w:abstractNum>
  <w:abstractNum w:abstractNumId="1">
    <w:nsid w:val="4657"/>
    <w:multiLevelType w:val="hybridMultilevel"/>
    <w:lvl w:ilvl="0">
      <w:lvlJc w:val="left"/>
      <w:lvlText w:val="%1."/>
      <w:numFmt w:val="decimal"/>
      <w:start w:val="6"/>
    </w:lvl>
  </w:abstractNum>
  <w:abstractNum w:abstractNumId="2">
    <w:nsid w:val="2C49"/>
    <w:multiLevelType w:val="hybridMultilevel"/>
    <w:lvl w:ilvl="0">
      <w:lvlJc w:val="left"/>
      <w:lvlText w:val="%1."/>
      <w:numFmt w:val="decimal"/>
      <w:start w:val="8"/>
    </w:lvl>
  </w:abstractNum>
  <w:abstractNum w:abstractNumId="3">
    <w:nsid w:val="3C61"/>
    <w:multiLevelType w:val="hybridMultilevel"/>
    <w:lvl w:ilvl="0">
      <w:lvlJc w:val="left"/>
      <w:lvlText w:val="и"/>
      <w:numFmt w:val="bullet"/>
      <w:start w:val="1"/>
    </w:lvl>
    <w:lvl w:ilvl="1">
      <w:lvlJc w:val="left"/>
      <w:lvlText w:val="В"/>
      <w:numFmt w:val="bullet"/>
      <w:start w:val="1"/>
    </w:lvl>
  </w:abstractNum>
  <w:abstractNum w:abstractNumId="4">
    <w:nsid w:val="2FFF"/>
    <w:multiLevelType w:val="hybridMultilevel"/>
    <w:lvl w:ilvl="0">
      <w:lvlJc w:val="left"/>
      <w:lvlText w:val="%1."/>
      <w:numFmt w:val="decimal"/>
      <w:start w:val="1"/>
    </w:lvl>
  </w:abstractNum>
  <w:abstractNum w:abstractNumId="5">
    <w:nsid w:val="6C69"/>
    <w:multiLevelType w:val="hybridMultilevel"/>
    <w:lvl w:ilvl="0">
      <w:lvlJc w:val="left"/>
      <w:lvlText w:val="В"/>
      <w:numFmt w:val="bullet"/>
      <w:start w:val="1"/>
    </w:lvl>
    <w:lvl w:ilvl="1">
      <w:lvlJc w:val="left"/>
      <w:lvlText w:val="="/>
      <w:numFmt w:val="bullet"/>
      <w:start w:val="1"/>
    </w:lvl>
    <w:lvl w:ilvl="2">
      <w:lvlJc w:val="left"/>
      <w:lvlText w:val="%3"/>
      <w:numFmt w:val="lowerRoman"/>
      <w:start w:val="1"/>
    </w:lvl>
    <w:lvl w:ilvl="3">
      <w:lvlJc w:val="left"/>
      <w:lvlText w:val="β"/>
      <w:numFmt w:val="bullet"/>
      <w:start w:val="1"/>
    </w:lvl>
  </w:abstractNum>
  <w:abstractNum w:abstractNumId="6">
    <w:nsid w:val="288F"/>
    <w:multiLevelType w:val="hybridMultilevel"/>
    <w:lvl w:ilvl="0">
      <w:lvlJc w:val="left"/>
      <w:lvlText w:val=""/>
      <w:numFmt w:val="bullet"/>
      <w:start w:val="1"/>
    </w:lvl>
  </w:abstractNum>
  <w:abstractNum w:abstractNumId="7">
    <w:nsid w:val="3A61"/>
    <w:multiLevelType w:val="hybridMultilevel"/>
    <w:lvl w:ilvl="0">
      <w:lvlJc w:val="left"/>
      <w:lvlText w:val=""/>
      <w:numFmt w:val="bullet"/>
      <w:start w:val="1"/>
    </w:lvl>
  </w:abstractNum>
  <w:abstractNum w:abstractNumId="8">
    <w:nsid w:val="22CD"/>
    <w:multiLevelType w:val="hybridMultilevel"/>
    <w:lvl w:ilvl="0">
      <w:lvlJc w:val="left"/>
      <w:lvlText w:val=""/>
      <w:numFmt w:val="bullet"/>
      <w:start w:val="1"/>
    </w:lvl>
  </w:abstractNum>
  <w:abstractNum w:abstractNumId="9">
    <w:nsid w:val="7DD1"/>
    <w:multiLevelType w:val="hybridMultilevel"/>
    <w:lvl w:ilvl="0">
      <w:lvlJc w:val="left"/>
      <w:lvlText w:val="-"/>
      <w:numFmt w:val="bullet"/>
      <w:start w:val="1"/>
    </w:lvl>
  </w:abstractNum>
  <w:abstractNum w:abstractNumId="10">
    <w:nsid w:val="261E"/>
    <w:multiLevelType w:val="hybridMultilevel"/>
    <w:lvl w:ilvl="0">
      <w:lvlJc w:val="left"/>
      <w:lvlText w:val="-"/>
      <w:numFmt w:val="bullet"/>
      <w:start w:val="1"/>
    </w:lvl>
  </w:abstractNum>
  <w:abstractNum w:abstractNumId="11">
    <w:nsid w:val="5E9D"/>
    <w:multiLevelType w:val="hybridMultilevel"/>
    <w:lvl w:ilvl="0">
      <w:lvlJc w:val="left"/>
      <w:lvlText w:val="-"/>
      <w:numFmt w:val="bullet"/>
      <w:start w:val="1"/>
    </w:lvl>
  </w:abstractNum>
  <w:abstractNum w:abstractNumId="12">
    <w:nsid w:val="489C"/>
    <w:multiLevelType w:val="hybridMultilevel"/>
    <w:lvl w:ilvl="0">
      <w:lvlJc w:val="left"/>
      <w:lvlText w:val="-"/>
      <w:numFmt w:val="bullet"/>
      <w:start w:val="1"/>
    </w:lvl>
  </w:abstractNum>
  <w:abstractNum w:abstractNumId="13">
    <w:nsid w:val="1916"/>
    <w:multiLevelType w:val="hybridMultilevel"/>
    <w:lvl w:ilvl="0">
      <w:lvlJc w:val="left"/>
      <w:lvlText w:val="-"/>
      <w:numFmt w:val="bullet"/>
      <w:start w:val="1"/>
    </w:lvl>
  </w:abstractNum>
  <w:abstractNum w:abstractNumId="14">
    <w:nsid w:val="6172"/>
    <w:multiLevelType w:val="hybridMultilevel"/>
    <w:lvl w:ilvl="0">
      <w:lvlJc w:val="left"/>
      <w:lvlText w:val="-"/>
      <w:numFmt w:val="bullet"/>
      <w:start w:val="1"/>
    </w:lvl>
  </w:abstractNum>
  <w:abstractNum w:abstractNumId="15">
    <w:nsid w:val="6B72"/>
    <w:multiLevelType w:val="hybridMultilevel"/>
    <w:lvl w:ilvl="0">
      <w:lvlJc w:val="left"/>
      <w:lvlText w:val="-"/>
      <w:numFmt w:val="bullet"/>
      <w:start w:val="1"/>
    </w:lvl>
  </w:abstractNum>
  <w:abstractNum w:abstractNumId="16">
    <w:nsid w:val="32E6"/>
    <w:multiLevelType w:val="hybridMultilevel"/>
    <w:lvl w:ilvl="0">
      <w:lvlJc w:val="left"/>
      <w:lvlText w:val="-"/>
      <w:numFmt w:val="bullet"/>
      <w:start w:val="1"/>
    </w:lvl>
  </w:abstractNum>
  <w:abstractNum w:abstractNumId="17">
    <w:nsid w:val="401D"/>
    <w:multiLevelType w:val="hybridMultilevel"/>
    <w:lvl w:ilvl="0">
      <w:lvlJc w:val="left"/>
      <w:lvlText w:val="-"/>
      <w:numFmt w:val="bullet"/>
      <w:start w:val="1"/>
    </w:lvl>
  </w:abstractNum>
  <w:abstractNum w:abstractNumId="18">
    <w:nsid w:val="71F0"/>
    <w:multiLevelType w:val="hybridMultilevel"/>
    <w:lvl w:ilvl="0">
      <w:lvlJc w:val="left"/>
      <w:lvlText w:val="-"/>
      <w:numFmt w:val="bullet"/>
      <w:start w:val="1"/>
    </w:lvl>
  </w:abstractNum>
  <w:abstractNum w:abstractNumId="19">
    <w:nsid w:val="384"/>
    <w:multiLevelType w:val="hybridMultilevel"/>
    <w:lvl w:ilvl="0">
      <w:lvlJc w:val="left"/>
      <w:lvlText w:val="-"/>
      <w:numFmt w:val="bullet"/>
      <w:start w:val="1"/>
    </w:lvl>
  </w:abstractNum>
  <w:abstractNum w:abstractNumId="20">
    <w:nsid w:val="7F4F"/>
    <w:multiLevelType w:val="hybridMultilevel"/>
    <w:lvl w:ilvl="0">
      <w:lvlJc w:val="left"/>
      <w:lvlText w:val="-"/>
      <w:numFmt w:val="bullet"/>
      <w:start w:val="1"/>
    </w:lvl>
  </w:abstractNum>
  <w:abstractNum w:abstractNumId="21">
    <w:nsid w:val="494A"/>
    <w:multiLevelType w:val="hybridMultilevel"/>
    <w:lvl w:ilvl="0">
      <w:lvlJc w:val="left"/>
      <w:lvlText w:val="В"/>
      <w:numFmt w:val="bullet"/>
      <w:start w:val="1"/>
    </w:lvl>
  </w:abstractNum>
  <w:abstractNum w:abstractNumId="22">
    <w:nsid w:val="677"/>
    <w:multiLevelType w:val="hybridMultilevel"/>
    <w:lvl w:ilvl="0">
      <w:lvlJc w:val="left"/>
      <w:lvlText w:val="В"/>
      <w:numFmt w:val="bullet"/>
      <w:start w:val="1"/>
    </w:lvl>
  </w:abstractNum>
  <w:abstractNum w:abstractNumId="23">
    <w:nsid w:val="4402"/>
    <w:multiLevelType w:val="hybridMultilevel"/>
    <w:lvl w:ilvl="0">
      <w:lvlJc w:val="left"/>
      <w:lvlText w:val="-"/>
      <w:numFmt w:val="bullet"/>
      <w:start w:val="1"/>
    </w:lvl>
  </w:abstractNum>
  <w:abstractNum w:abstractNumId="24">
    <w:nsid w:val="18D7"/>
    <w:multiLevelType w:val="hybridMultilevel"/>
    <w:lvl w:ilvl="0">
      <w:lvlJc w:val="left"/>
      <w:lvlText w:val=""/>
      <w:numFmt w:val="bullet"/>
      <w:start w:val="1"/>
    </w:lvl>
  </w:abstractNum>
  <w:abstractNum w:abstractNumId="25">
    <w:nsid w:val="6BE8"/>
    <w:multiLevelType w:val="hybridMultilevel"/>
    <w:lvl w:ilvl="0">
      <w:lvlJc w:val="left"/>
      <w:lvlText w:val="+"/>
      <w:numFmt w:val="bullet"/>
      <w:start w:val="1"/>
    </w:lvl>
    <w:lvl w:ilvl="1">
      <w:lvlJc w:val="left"/>
      <w:lvlText w:val="+"/>
      <w:numFmt w:val="bullet"/>
      <w:start w:val="1"/>
    </w:lvl>
    <w:lvl w:ilvl="2">
      <w:lvlJc w:val="left"/>
      <w:lvlText w:val="+"/>
      <w:numFmt w:val="bullet"/>
      <w:start w:val="1"/>
    </w:lvl>
  </w:abstractNum>
  <w:abstractNum w:abstractNumId="26">
    <w:nsid w:val="5039"/>
    <w:multiLevelType w:val="hybridMultilevel"/>
    <w:lvl w:ilvl="0">
      <w:lvlJc w:val="left"/>
      <w:lvlText w:val="="/>
      <w:numFmt w:val="bullet"/>
      <w:start w:val="1"/>
    </w:lvl>
    <w:lvl w:ilvl="1">
      <w:lvlJc w:val="left"/>
      <w:lvlText w:val="Ц"/>
      <w:numFmt w:val="bullet"/>
      <w:start w:val="1"/>
    </w:lvl>
  </w:abstractNum>
  <w:abstractNum w:abstractNumId="27">
    <w:nsid w:val="542C"/>
    <w:multiLevelType w:val="hybridMultilevel"/>
    <w:lvl w:ilvl="0">
      <w:lvlJc w:val="left"/>
      <w:lvlText w:val="Ц"/>
      <w:numFmt w:val="bullet"/>
      <w:start w:val="1"/>
    </w:lvl>
  </w:abstractNum>
  <w:abstractNum w:abstractNumId="28">
    <w:nsid w:val="1953"/>
    <w:multiLevelType w:val="hybridMultilevel"/>
    <w:lvl w:ilvl="0">
      <w:lvlJc w:val="left"/>
      <w:lvlText w:val="в"/>
      <w:numFmt w:val="bullet"/>
      <w:start w:val="1"/>
    </w:lvl>
  </w:abstractNum>
  <w:abstractNum w:abstractNumId="29">
    <w:nsid w:val="6BCB"/>
    <w:multiLevelType w:val="hybridMultilevel"/>
    <w:lvl w:ilvl="0">
      <w:lvlJc w:val="left"/>
      <w:lvlText w:val="%1."/>
      <w:numFmt w:val="decimal"/>
      <w:start w:val="1"/>
    </w:lvl>
  </w:abstractNum>
  <w:abstractNum w:abstractNumId="30">
    <w:nsid w:val="FC9"/>
    <w:multiLevelType w:val="hybridMultilevel"/>
    <w:lvl w:ilvl="0">
      <w:lvlJc w:val="left"/>
      <w:lvlText w:val="%1."/>
      <w:numFmt w:val="decimal"/>
      <w:start w:val="2"/>
    </w:lvl>
  </w:abstractNum>
  <w:abstractNum w:abstractNumId="31">
    <w:nsid w:val="E12"/>
    <w:multiLevelType w:val="hybridMultilevel"/>
    <w:lvl w:ilvl="0">
      <w:lvlJc w:val="left"/>
      <w:lvlText w:val="\endash "/>
      <w:numFmt w:val="bullet"/>
      <w:start w:val="1"/>
    </w:lvl>
  </w:abstractNum>
  <w:abstractNum w:abstractNumId="32">
    <w:nsid w:val="5F1E"/>
    <w:multiLevelType w:val="hybridMultilevel"/>
    <w:lvl w:ilvl="0">
      <w:lvlJc w:val="left"/>
      <w:lvlText w:val="%1."/>
      <w:numFmt w:val="decimal"/>
      <w:start w:val="1"/>
    </w:lvl>
  </w:abstractNum>
  <w:abstractNum w:abstractNumId="33">
    <w:nsid w:val="2833"/>
    <w:multiLevelType w:val="hybridMultilevel"/>
    <w:lvl w:ilvl="0">
      <w:lvlJc w:val="left"/>
      <w:lvlText w:val="%1."/>
      <w:numFmt w:val="decimal"/>
      <w:start w:val="2"/>
    </w:lvl>
  </w:abstractNum>
  <w:abstractNum w:abstractNumId="34">
    <w:nsid w:val="7874"/>
    <w:multiLevelType w:val="hybridMultilevel"/>
    <w:lvl w:ilvl="0">
      <w:lvlJc w:val="left"/>
      <w:lvlText w:val="+"/>
      <w:numFmt w:val="bullet"/>
      <w:start w:val="1"/>
    </w:lvl>
  </w:abstractNum>
  <w:abstractNum w:abstractNumId="35">
    <w:nsid w:val="249E"/>
    <w:multiLevelType w:val="hybridMultilevel"/>
    <w:lvl w:ilvl="0">
      <w:lvlJc w:val="left"/>
      <w:lvlText w:val="%1."/>
      <w:numFmt w:val="decimal"/>
      <w:start w:val="3"/>
    </w:lvl>
  </w:abstractNum>
  <w:abstractNum w:abstractNumId="36">
    <w:nsid w:val="2B0C"/>
    <w:multiLevelType w:val="hybridMultilevel"/>
    <w:lvl w:ilvl="0">
      <w:lvlJc w:val="left"/>
      <w:lvlText w:val="%1."/>
      <w:numFmt w:val="decimal"/>
      <w:start w:val="3"/>
    </w:lvl>
    <w:lvl w:ilvl="1">
      <w:lvlJc w:val="left"/>
      <w:lvlText w:val="="/>
      <w:numFmt w:val="bullet"/>
      <w:start w:val="1"/>
    </w:lvl>
    <w:lvl w:ilvl="2">
      <w:lvlJc w:val="left"/>
      <w:lvlText w:val="+"/>
      <w:numFmt w:val="bullet"/>
      <w:start w:val="1"/>
    </w:lvl>
  </w:abstractNum>
  <w:abstractNum w:abstractNumId="37">
    <w:nsid w:val="11F4"/>
    <w:multiLevelType w:val="hybridMultilevel"/>
    <w:lvl w:ilvl="0">
      <w:lvlJc w:val="left"/>
      <w:lvlText w:val="%1."/>
      <w:numFmt w:val="decimal"/>
      <w:start w:val="5"/>
    </w:lvl>
  </w:abstractNum>
  <w:abstractNum w:abstractNumId="38">
    <w:nsid w:val="5DD5"/>
    <w:multiLevelType w:val="hybridMultilevel"/>
    <w:lvl w:ilvl="0">
      <w:lvlJc w:val="left"/>
      <w:lvlText w:val="В"/>
      <w:numFmt w:val="bullet"/>
      <w:start w:val="1"/>
    </w:lvl>
  </w:abstractNum>
  <w:abstractNum w:abstractNumId="39">
    <w:nsid w:val="6AD4"/>
    <w:multiLevelType w:val="hybridMultilevel"/>
    <w:lvl w:ilvl="0">
      <w:lvlJc w:val="left"/>
      <w:lvlText w:val="%1."/>
      <w:numFmt w:val="decimal"/>
      <w:start w:val="2"/>
    </w:lvl>
  </w:abstractNum>
  <w:abstractNum w:abstractNumId="40">
    <w:nsid w:val="5A9F"/>
    <w:multiLevelType w:val="hybridMultilevel"/>
    <w:lvl w:ilvl="0">
      <w:lvlJc w:val="left"/>
      <w:lvlText w:val="%1."/>
      <w:numFmt w:val="decimal"/>
      <w:start w:val="2"/>
    </w:lvl>
    <w:lvl w:ilvl="1">
      <w:lvlJc w:val="left"/>
      <w:lvlText w:val="="/>
      <w:numFmt w:val="bullet"/>
      <w:start w:val="1"/>
    </w:lvl>
  </w:abstractNum>
  <w:abstractNum w:abstractNumId="41">
    <w:nsid w:val="4CD4"/>
    <w:multiLevelType w:val="hybridMultilevel"/>
    <w:lvl w:ilvl="0">
      <w:lvlJc w:val="left"/>
      <w:lvlText w:val="%1."/>
      <w:numFmt w:val="decimal"/>
      <w:start w:val="4"/>
    </w:lvl>
  </w:abstractNum>
  <w:abstractNum w:abstractNumId="42">
    <w:nsid w:val="5FA4"/>
    <w:multiLevelType w:val="hybridMultilevel"/>
    <w:lvl w:ilvl="0">
      <w:lvlJc w:val="left"/>
      <w:lvlText w:val="в"/>
      <w:numFmt w:val="bullet"/>
      <w:start w:val="1"/>
    </w:lvl>
    <w:lvl w:ilvl="1">
      <w:lvlJc w:val="left"/>
      <w:lvlText w:val="%2."/>
      <w:numFmt w:val="decimal"/>
      <w:start w:val="1"/>
    </w:lvl>
  </w:abstractNum>
  <w:abstractNum w:abstractNumId="43">
    <w:nsid w:val="2059"/>
    <w:multiLevelType w:val="hybridMultilevel"/>
    <w:lvl w:ilvl="0">
      <w:lvlJc w:val="left"/>
      <w:lvlText w:val="в"/>
      <w:numFmt w:val="bullet"/>
      <w:start w:val="1"/>
    </w:lvl>
    <w:lvl w:ilvl="1">
      <w:lvlJc w:val="left"/>
      <w:lvlText w:val="%2."/>
      <w:numFmt w:val="decimal"/>
      <w:start w:val="2"/>
    </w:lvl>
  </w:abstractNum>
  <w:abstractNum w:abstractNumId="44">
    <w:nsid w:val="127E"/>
    <w:multiLevelType w:val="hybridMultilevel"/>
    <w:lvl w:ilvl="0">
      <w:lvlJc w:val="left"/>
      <w:lvlText w:val="в"/>
      <w:numFmt w:val="bullet"/>
      <w:start w:val="1"/>
    </w:lvl>
    <w:lvl w:ilvl="1">
      <w:lvlJc w:val="left"/>
      <w:lvlText w:val=""/>
      <w:numFmt w:val="bullet"/>
      <w:start w:val="1"/>
    </w:lvl>
    <w:lvl w:ilvl="2">
      <w:lvlJc w:val="left"/>
      <w:lvlText w:val="%3."/>
      <w:numFmt w:val="decimal"/>
      <w:start w:val="3"/>
    </w:lvl>
    <w:lvl w:ilvl="3">
      <w:lvlJc w:val="left"/>
      <w:lvlText w:val="%4"/>
      <w:numFmt w:val="decimal"/>
      <w:start w:val="1"/>
    </w:lvl>
  </w:abstractNum>
  <w:abstractNum w:abstractNumId="45">
    <w:nsid w:val="35"/>
    <w:multiLevelType w:val="hybridMultilevel"/>
    <w:lvl w:ilvl="0">
      <w:lvlJc w:val="left"/>
      <w:lvlText w:val="в"/>
      <w:numFmt w:val="bullet"/>
      <w:start w:val="1"/>
    </w:lvl>
    <w:lvl w:ilvl="1">
      <w:lvlJc w:val="left"/>
      <w:lvlText w:val=""/>
      <w:numFmt w:val="bullet"/>
      <w:start w:val="1"/>
    </w:lvl>
    <w:lvl w:ilvl="2">
      <w:lvlJc w:val="left"/>
      <w:lvlText w:val="%3."/>
      <w:numFmt w:val="decimal"/>
      <w:start w:val="4"/>
    </w:lvl>
    <w:lvl w:ilvl="3">
      <w:lvlJc w:val="left"/>
      <w:lvlText w:val="%4."/>
      <w:numFmt w:val="decimal"/>
      <w:start w:val="5"/>
    </w:lvl>
  </w:abstractNum>
  <w:abstractNum w:abstractNumId="46">
    <w:nsid w:val="7CF"/>
    <w:multiLevelType w:val="hybridMultilevel"/>
    <w:lvl w:ilvl="0">
      <w:lvlJc w:val="left"/>
      <w:lvlText w:val=""/>
      <w:numFmt w:val="bullet"/>
      <w:start w:val="1"/>
    </w:lvl>
  </w:abstractNum>
  <w:abstractNum w:abstractNumId="47">
    <w:nsid w:val="6732"/>
    <w:multiLevelType w:val="hybridMultilevel"/>
    <w:lvl w:ilvl="0">
      <w:lvlJc w:val="left"/>
      <w:lvlText w:val=""/>
      <w:numFmt w:val="bullet"/>
      <w:start w:val="1"/>
    </w:lvl>
  </w:abstractNum>
  <w:abstractNum w:abstractNumId="48">
    <w:nsid w:val="6D22"/>
    <w:multiLevelType w:val="hybridMultilevel"/>
    <w:lvl w:ilvl="0">
      <w:lvlJc w:val="left"/>
      <w:lvlText w:val="%1"/>
      <w:numFmt w:val="decimal"/>
      <w:start w:val="1"/>
    </w:lvl>
    <w:lvl w:ilvl="1">
      <w:lvlJc w:val="left"/>
      <w:lvlText w:val="%2."/>
      <w:numFmt w:val="decimal"/>
      <w:start w:val="6"/>
    </w:lvl>
  </w:abstractNum>
  <w:abstractNum w:abstractNumId="49">
    <w:nsid w:val="1AF4"/>
    <w:multiLevelType w:val="hybridMultilevel"/>
    <w:lvl w:ilvl="0">
      <w:lvlJc w:val="left"/>
      <w:lvlText w:val="%1."/>
      <w:numFmt w:val="decimal"/>
      <w:start w:val="7"/>
    </w:lvl>
    <w:lvl w:ilvl="1">
      <w:lvlJc w:val="left"/>
      <w:lvlText w:val="%2"/>
      <w:numFmt w:val="decimal"/>
      <w:start w:val="1"/>
    </w:lvl>
  </w:abstractNum>
  <w:abstractNum w:abstractNumId="50">
    <w:nsid w:val="ECC"/>
    <w:multiLevelType w:val="hybridMultilevel"/>
    <w:lvl w:ilvl="0">
      <w:lvlJc w:val="left"/>
      <w:lvlText w:val="%1."/>
      <w:numFmt w:val="decimal"/>
      <w:start w:val="8"/>
    </w:lvl>
  </w:abstractNum>
  <w:abstractNum w:abstractNumId="51">
    <w:nsid w:val="46CF"/>
    <w:multiLevelType w:val="hybridMultilevel"/>
    <w:lvl w:ilvl="0">
      <w:lvlJc w:val="left"/>
      <w:lvlText w:val="-"/>
      <w:numFmt w:val="bullet"/>
      <w:start w:val="1"/>
    </w:lvl>
    <w:lvl w:ilvl="1">
      <w:lvlJc w:val="left"/>
      <w:lvlText w:val="%2."/>
      <w:numFmt w:val="decimal"/>
      <w:start w:val="9"/>
    </w:lvl>
  </w:abstractNum>
  <w:abstractNum w:abstractNumId="52">
    <w:nsid w:val="1D3"/>
    <w:multiLevelType w:val="hybridMultilevel"/>
    <w:lvl w:ilvl="0">
      <w:lvlJc w:val="left"/>
      <w:lvlText w:val="-"/>
      <w:numFmt w:val="bullet"/>
      <w:start w:val="1"/>
    </w:lvl>
    <w:lvl w:ilvl="1">
      <w:lvlJc w:val="left"/>
      <w:lvlText w:val="%2."/>
      <w:numFmt w:val="decimal"/>
      <w:start w:val="10"/>
    </w:lvl>
  </w:abstractNum>
  <w:abstractNum w:abstractNumId="53">
    <w:nsid w:val="E90"/>
    <w:multiLevelType w:val="hybridMultilevel"/>
    <w:lvl w:ilvl="0">
      <w:lvlJc w:val="left"/>
      <w:lvlText w:val="%1."/>
      <w:numFmt w:val="decimal"/>
      <w:start w:val="2"/>
    </w:lvl>
  </w:abstractNum>
  <w:abstractNum w:abstractNumId="54">
    <w:nsid w:val="3A2D"/>
    <w:multiLevelType w:val="hybridMultilevel"/>
    <w:lvl w:ilvl="0">
      <w:lvlJc w:val="left"/>
      <w:lvlText w:val="в"/>
      <w:numFmt w:val="bullet"/>
      <w:start w:val="1"/>
    </w:lvl>
  </w:abstractNum>
  <w:abstractNum w:abstractNumId="55">
    <w:nsid w:val="6048"/>
    <w:multiLevelType w:val="hybridMultilevel"/>
    <w:lvl w:ilvl="0">
      <w:lvlJc w:val="left"/>
      <w:lvlText w:val="Ц"/>
      <w:numFmt w:val="bullet"/>
      <w:start w:val="1"/>
    </w:lvl>
    <w:lvl w:ilvl="1">
      <w:lvlJc w:val="left"/>
      <w:lvlText w:val="="/>
      <w:numFmt w:val="bullet"/>
      <w:start w:val="1"/>
    </w:lvl>
  </w:abstractNum>
  <w:abstractNum w:abstractNumId="56">
    <w:nsid w:val="57D3"/>
    <w:multiLevelType w:val="hybridMultilevel"/>
    <w:lvl w:ilvl="0">
      <w:lvlJc w:val="left"/>
      <w:lvlText w:val=""/>
      <w:numFmt w:val="bullet"/>
      <w:start w:val="1"/>
    </w:lvl>
  </w:abstractNum>
  <w:abstractNum w:abstractNumId="57">
    <w:nsid w:val="458F"/>
    <w:multiLevelType w:val="hybridMultilevel"/>
    <w:lvl w:ilvl="0">
      <w:lvlJc w:val="left"/>
      <w:lvlText w:val="%1."/>
      <w:numFmt w:val="decimal"/>
      <w:start w:val="1"/>
    </w:lvl>
  </w:abstractNum>
  <w:abstractNum w:abstractNumId="58">
    <w:nsid w:val="975"/>
    <w:multiLevelType w:val="hybridMultilevel"/>
    <w:lvl w:ilvl="0">
      <w:lvlJc w:val="left"/>
      <w:lvlText w:val="в"/>
      <w:numFmt w:val="bullet"/>
      <w:start w:val="1"/>
    </w:lvl>
    <w:lvl w:ilvl="1">
      <w:lvlJc w:val="left"/>
      <w:lvlText w:val="%2."/>
      <w:numFmt w:val="decimal"/>
      <w:start w:val="2"/>
    </w:lvl>
  </w:abstractNum>
  <w:abstractNum w:abstractNumId="59">
    <w:nsid w:val="37E6"/>
    <w:multiLevelType w:val="hybridMultilevel"/>
    <w:lvl w:ilvl="0">
      <w:lvlJc w:val="left"/>
      <w:lvlText w:val="%1."/>
      <w:numFmt w:val="decimal"/>
      <w:start w:val="3"/>
    </w:lvl>
  </w:abstractNum>
  <w:abstractNum w:abstractNumId="60">
    <w:nsid w:val="19D9"/>
    <w:multiLevelType w:val="hybridMultilevel"/>
    <w:lvl w:ilvl="0">
      <w:lvlJc w:val="left"/>
      <w:lvlText w:val="Ц"/>
      <w:numFmt w:val="bullet"/>
      <w:start w:val="1"/>
    </w:lvl>
    <w:lvl w:ilvl="1">
      <w:lvlJc w:val="left"/>
      <w:lvlText w:val="%2."/>
      <w:numFmt w:val="decimal"/>
      <w:start w:val="1"/>
    </w:lvl>
  </w:abstractNum>
  <w:abstractNum w:abstractNumId="61">
    <w:nsid w:val="591D"/>
    <w:multiLevelType w:val="hybridMultilevel"/>
    <w:lvl w:ilvl="0">
      <w:lvlJc w:val="left"/>
      <w:lvlText w:val="%1."/>
      <w:numFmt w:val="decimal"/>
      <w:start w:val="2"/>
    </w:lvl>
  </w:abstractNum>
  <w:abstractNum w:abstractNumId="62">
    <w:nsid w:val="252A"/>
    <w:multiLevelType w:val="hybridMultilevel"/>
    <w:lvl w:ilvl="0">
      <w:lvlJc w:val="left"/>
      <w:lvlText w:val="%1."/>
      <w:numFmt w:val="decimal"/>
      <w:start w:val="1"/>
    </w:lvl>
  </w:abstractNum>
  <w:abstractNum w:abstractNumId="63">
    <w:nsid w:val="37E5"/>
    <w:multiLevelType w:val="hybridMultilevel"/>
    <w:lvl w:ilvl="0">
      <w:lvlJc w:val="left"/>
      <w:lvlText w:val=""/>
      <w:numFmt w:val="bullet"/>
      <w:start w:val="1"/>
    </w:lvl>
    <w:lvl w:ilvl="1">
      <w:lvlJc w:val="left"/>
      <w:lvlText w:val="%2."/>
      <w:numFmt w:val="decimal"/>
      <w:start w:val="2"/>
    </w:lvl>
    <w:lvl w:ilvl="2">
      <w:lvlJc w:val="left"/>
      <w:lvlText w:val="%3."/>
      <w:numFmt w:val="decimal"/>
      <w:start w:val="3"/>
    </w:lvl>
  </w:abstractNum>
  <w:abstractNum w:abstractNumId="64">
    <w:nsid w:val="1DC0"/>
    <w:multiLevelType w:val="hybridMultilevel"/>
    <w:lvl w:ilvl="0">
      <w:lvlJc w:val="left"/>
      <w:lvlText w:val="%1."/>
      <w:numFmt w:val="decimal"/>
      <w:start w:val="3"/>
    </w:lvl>
  </w:abstractNum>
  <w:abstractNum w:abstractNumId="65">
    <w:nsid w:val="49F7"/>
    <w:multiLevelType w:val="hybridMultilevel"/>
    <w:lvl w:ilvl="0">
      <w:lvlJc w:val="left"/>
      <w:lvlText w:val="%1."/>
      <w:numFmt w:val="decimal"/>
      <w:start w:val="1"/>
    </w:lvl>
  </w:abstractNum>
  <w:abstractNum w:abstractNumId="66">
    <w:nsid w:val="442B"/>
    <w:multiLevelType w:val="hybridMultilevel"/>
    <w:lvl w:ilvl="0">
      <w:lvlJc w:val="left"/>
      <w:lvlText w:val="%1."/>
      <w:numFmt w:val="decimal"/>
      <w:start w:val="1"/>
    </w:lvl>
  </w:abstractNum>
  <w:abstractNum w:abstractNumId="67">
    <w:nsid w:val="5078"/>
    <w:multiLevelType w:val="hybridMultilevel"/>
    <w:lvl w:ilvl="0">
      <w:lvlJc w:val="left"/>
      <w:lvlText w:val="В"/>
      <w:numFmt w:val="bullet"/>
      <w:start w:val="1"/>
    </w:lvl>
  </w:abstractNum>
  <w:abstractNum w:abstractNumId="68">
    <w:nsid w:val="1481"/>
    <w:multiLevelType w:val="hybridMultilevel"/>
    <w:lvl w:ilvl="0">
      <w:lvlJc w:val="left"/>
      <w:lvlText w:val="к"/>
      <w:numFmt w:val="bullet"/>
      <w:start w:val="1"/>
    </w:lvl>
    <w:lvl w:ilvl="1">
      <w:lvlJc w:val="left"/>
      <w:lvlText w:val=""/>
      <w:numFmt w:val="bullet"/>
      <w:start w:val="1"/>
    </w:lvl>
    <w:lvl w:ilvl="2">
      <w:lvlJc w:val="left"/>
      <w:lvlText w:val="%3."/>
      <w:numFmt w:val="decimal"/>
      <w:start w:val="2"/>
    </w:lvl>
  </w:abstractNum>
  <w:abstractNum w:abstractNumId="69">
    <w:nsid w:val="4087"/>
    <w:multiLevelType w:val="hybridMultilevel"/>
    <w:lvl w:ilvl="0">
      <w:lvlJc w:val="left"/>
      <w:lvlText w:val="%1)"/>
      <w:numFmt w:val="decimal"/>
      <w:start w:val="1"/>
    </w:lvl>
  </w:abstractNum>
  <w:abstractNum w:abstractNumId="70">
    <w:nsid w:val="7B44"/>
    <w:multiLevelType w:val="hybridMultilevel"/>
    <w:lvl w:ilvl="0">
      <w:lvlJc w:val="left"/>
      <w:lvlText w:val="%1)"/>
      <w:numFmt w:val="decimal"/>
      <w:start w:val="5"/>
    </w:lvl>
  </w:abstractNum>
  <w:abstractNum w:abstractNumId="71">
    <w:nsid w:val="590E"/>
    <w:multiLevelType w:val="hybridMultilevel"/>
    <w:lvl w:ilvl="0">
      <w:lvlJc w:val="left"/>
      <w:lvlText w:val="="/>
      <w:numFmt w:val="bullet"/>
      <w:start w:val="1"/>
    </w:lvl>
  </w:abstractNum>
  <w:abstractNum w:abstractNumId="72">
    <w:nsid w:val="765F"/>
    <w:multiLevelType w:val="hybridMultilevel"/>
    <w:lvl w:ilvl="0">
      <w:lvlJc w:val="left"/>
      <w:lvlText w:val="="/>
      <w:numFmt w:val="bullet"/>
      <w:start w:val="1"/>
    </w:lvl>
  </w:abstractNum>
  <w:abstractNum w:abstractNumId="73">
    <w:nsid w:val="1850"/>
    <w:multiLevelType w:val="hybridMultilevel"/>
    <w:lvl w:ilvl="0">
      <w:lvlJc w:val="left"/>
      <w:lvlText w:val="%1."/>
      <w:numFmt w:val="decimal"/>
      <w:start w:val="1"/>
    </w:lvl>
  </w:abstractNum>
  <w:abstractNum w:abstractNumId="74">
    <w:nsid w:val="2B00"/>
    <w:multiLevelType w:val="hybridMultilevel"/>
    <w:lvl w:ilvl="0">
      <w:lvlJc w:val="left"/>
      <w:lvlText w:val="%1."/>
      <w:numFmt w:val="decimal"/>
      <w:start w:val="2"/>
    </w:lvl>
  </w:abstractNum>
  <w:abstractNum w:abstractNumId="75">
    <w:nsid w:val="16D4"/>
    <w:multiLevelType w:val="hybridMultilevel"/>
    <w:lvl w:ilvl="0">
      <w:lvlJc w:val="left"/>
      <w:lvlText w:val="ее"/>
      <w:numFmt w:val="bullet"/>
      <w:start w:val="1"/>
    </w:lvl>
    <w:lvl w:ilvl="1">
      <w:lvlJc w:val="left"/>
      <w:lvlText w:val="%2."/>
      <w:numFmt w:val="decimal"/>
      <w:start w:val="3"/>
    </w:lvl>
  </w:abstractNum>
  <w:abstractNum w:abstractNumId="76">
    <w:nsid w:val="7F61"/>
    <w:multiLevelType w:val="hybridMultilevel"/>
    <w:lvl w:ilvl="0">
      <w:lvlJc w:val="left"/>
      <w:lvlText w:val="%1)"/>
      <w:numFmt w:val="decimal"/>
      <w:start w:val="1"/>
    </w:lvl>
  </w:abstractNum>
  <w:abstractNum w:abstractNumId="77">
    <w:nsid w:val="3A8D"/>
    <w:multiLevelType w:val="hybridMultilevel"/>
    <w:lvl w:ilvl="0">
      <w:lvlJc w:val="left"/>
      <w:lvlText w:val="%1."/>
      <w:numFmt w:val="decimal"/>
      <w:start w:val="9"/>
    </w:lvl>
  </w:abstractNum>
  <w:abstractNum w:abstractNumId="78">
    <w:nsid w:val="7FBE"/>
    <w:multiLevelType w:val="hybridMultilevel"/>
    <w:lvl w:ilvl="0">
      <w:lvlJc w:val="left"/>
      <w:lvlText w:val="%1"/>
      <w:numFmt w:val="decimal"/>
      <w:start w:val="1"/>
    </w:lvl>
    <w:lvl w:ilvl="1">
      <w:lvlJc w:val="left"/>
      <w:lvlText w:val="%2)"/>
      <w:numFmt w:val="decimal"/>
      <w:start w:val="1"/>
    </w:lvl>
  </w:abstractNum>
  <w:abstractNum w:abstractNumId="79">
    <w:nsid w:val="C7B"/>
    <w:multiLevelType w:val="hybridMultilevel"/>
    <w:lvl w:ilvl="0">
      <w:lvlJc w:val="left"/>
      <w:lvlText w:val="%1."/>
      <w:numFmt w:val="decimal"/>
      <w:start w:val="12"/>
    </w:lvl>
    <w:lvl w:ilvl="1">
      <w:lvlJc w:val="left"/>
      <w:lvlText w:val="%2"/>
      <w:numFmt w:val="decimal"/>
      <w:start w:val="1"/>
    </w:lvl>
  </w:abstractNum>
  <w:abstractNum w:abstractNumId="80">
    <w:nsid w:val="5005"/>
    <w:multiLevelType w:val="hybridMultilevel"/>
    <w:lvl w:ilvl="0">
      <w:lvlJc w:val="left"/>
      <w:lvlText w:val="%1."/>
      <w:numFmt w:val="decimal"/>
      <w:start w:val="14"/>
    </w:lvl>
  </w:abstractNum>
  <w:abstractNum w:abstractNumId="81">
    <w:nsid w:val="C15"/>
    <w:multiLevelType w:val="hybridMultilevel"/>
    <w:lvl w:ilvl="0">
      <w:lvlJc w:val="left"/>
      <w:lvlText w:val="В"/>
      <w:numFmt w:val="bullet"/>
      <w:start w:val="1"/>
    </w:lvl>
  </w:abstractNum>
  <w:abstractNum w:abstractNumId="82">
    <w:nsid w:val="3807"/>
    <w:multiLevelType w:val="hybridMultilevel"/>
    <w:lvl w:ilvl="0">
      <w:lvlJc w:val="left"/>
      <w:lvlText w:val=""/>
      <w:numFmt w:val="bullet"/>
      <w:start w:val="1"/>
    </w:lvl>
  </w:abstractNum>
  <w:abstractNum w:abstractNumId="83">
    <w:nsid w:val="773B"/>
    <w:multiLevelType w:val="hybridMultilevel"/>
    <w:lvl w:ilvl="0">
      <w:lvlJc w:val="left"/>
      <w:lvlText w:val="%1."/>
      <w:numFmt w:val="decimal"/>
      <w:start w:val="1"/>
    </w:lvl>
  </w:abstractNum>
  <w:abstractNum w:abstractNumId="84">
    <w:nsid w:val="633"/>
    <w:multiLevelType w:val="hybridMultilevel"/>
    <w:lvl w:ilvl="0">
      <w:lvlJc w:val="left"/>
      <w:lvlText w:val="%1."/>
      <w:numFmt w:val="decimal"/>
      <w:start w:val="4"/>
    </w:lvl>
  </w:abstractNum>
  <w:abstractNum w:abstractNumId="85">
    <w:nsid w:val="7282"/>
    <w:multiLevelType w:val="hybridMultilevel"/>
    <w:lvl w:ilvl="0">
      <w:lvlJc w:val="left"/>
      <w:lvlText w:val="с"/>
      <w:numFmt w:val="bullet"/>
      <w:start w:val="1"/>
    </w:lvl>
    <w:lvl w:ilvl="1">
      <w:lvlJc w:val="left"/>
      <w:lvlText w:val="В"/>
      <w:numFmt w:val="bullet"/>
      <w:start w:val="1"/>
    </w:lvl>
  </w:abstractNum>
  <w:abstractNum w:abstractNumId="86">
    <w:nsid w:val="251F"/>
    <w:multiLevelType w:val="hybridMultilevel"/>
    <w:lvl w:ilvl="0">
      <w:lvlJc w:val="left"/>
      <w:lvlText w:val="В"/>
      <w:numFmt w:val="bullet"/>
      <w:start w:val="1"/>
    </w:lvl>
    <w:lvl w:ilvl="1">
      <w:lvlJc w:val="left"/>
      <w:lvlText w:val="%2."/>
      <w:numFmt w:val="decimal"/>
      <w:start w:val="1"/>
    </w:lvl>
  </w:abstractNum>
  <w:abstractNum w:abstractNumId="87">
    <w:nsid w:val="1D18"/>
    <w:multiLevelType w:val="hybridMultilevel"/>
    <w:lvl w:ilvl="0">
      <w:lvlJc w:val="left"/>
      <w:lvlText w:val="%1."/>
      <w:numFmt w:val="decimal"/>
      <w:start w:val="2"/>
    </w:lvl>
  </w:abstractNum>
  <w:abstractNum w:abstractNumId="88">
    <w:nsid w:val="6270"/>
    <w:multiLevelType w:val="hybridMultilevel"/>
    <w:lvl w:ilvl="0">
      <w:lvlJc w:val="left"/>
      <w:lvlText w:val="%1."/>
      <w:numFmt w:val="decimal"/>
      <w:start w:val="5"/>
    </w:lvl>
  </w:abstractNum>
  <w:abstractNum w:abstractNumId="89">
    <w:nsid w:val="3492"/>
    <w:multiLevelType w:val="hybridMultilevel"/>
    <w:lvl w:ilvl="0">
      <w:lvlJc w:val="left"/>
      <w:lvlText w:val="%1."/>
      <w:numFmt w:val="decimal"/>
      <w:start w:val="1"/>
    </w:lvl>
  </w:abstractNum>
  <w:abstractNum w:abstractNumId="90">
    <w:nsid w:val="19DA"/>
    <w:multiLevelType w:val="hybridMultilevel"/>
    <w:lvl w:ilvl="0">
      <w:lvlJc w:val="left"/>
      <w:lvlText w:val="%1."/>
      <w:numFmt w:val="decimal"/>
      <w:start w:val="4"/>
    </w:lvl>
  </w:abstractNum>
  <w:abstractNum w:abstractNumId="91">
    <w:nsid w:val="5064"/>
    <w:multiLevelType w:val="hybridMultilevel"/>
    <w:lvl w:ilvl="0">
      <w:lvlJc w:val="left"/>
      <w:lvlText w:val="и"/>
      <w:numFmt w:val="bullet"/>
      <w:start w:val="1"/>
    </w:lvl>
  </w:abstractNum>
  <w:abstractNum w:abstractNumId="92">
    <w:nsid w:val="4D54"/>
    <w:multiLevelType w:val="hybridMultilevel"/>
    <w:lvl w:ilvl="0">
      <w:lvlJc w:val="left"/>
      <w:lvlText w:val="%1."/>
      <w:numFmt w:val="decimal"/>
      <w:start w:val="1"/>
    </w:lvl>
  </w:abstractNum>
  <w:abstractNum w:abstractNumId="93">
    <w:nsid w:val="39CE"/>
    <w:multiLevelType w:val="hybridMultilevel"/>
    <w:lvl w:ilvl="0">
      <w:lvlJc w:val="left"/>
      <w:lvlText w:val="%1."/>
      <w:numFmt w:val="decimal"/>
      <w:start w:val="2"/>
    </w:lvl>
  </w:abstractNum>
  <w:abstractNum w:abstractNumId="94">
    <w:nsid w:val="3BB1"/>
    <w:multiLevelType w:val="hybridMultilevel"/>
    <w:lvl w:ilvl="0">
      <w:lvlJc w:val="left"/>
      <w:lvlText w:val="\endash "/>
      <w:numFmt w:val="bullet"/>
      <w:start w:val="1"/>
    </w:lvl>
    <w:lvl w:ilvl="1">
      <w:lvlJc w:val="left"/>
      <w:lvlText w:val="%2."/>
      <w:numFmt w:val="decimal"/>
      <w:start w:val="1"/>
    </w:lvl>
  </w:abstractNum>
  <w:abstractNum w:abstractNumId="95">
    <w:nsid w:val="4C85"/>
    <w:multiLevelType w:val="hybridMultilevel"/>
    <w:lvl w:ilvl="0">
      <w:lvlJc w:val="left"/>
      <w:lvlText w:val="В"/>
      <w:numFmt w:val="bullet"/>
      <w:start w:val="1"/>
    </w:lvl>
  </w:abstractNum>
  <w:abstractNum w:abstractNumId="96">
    <w:nsid w:val="513E"/>
    <w:multiLevelType w:val="hybridMultilevel"/>
    <w:lvl w:ilvl="0">
      <w:lvlJc w:val="left"/>
      <w:lvlText w:val="%1."/>
      <w:numFmt w:val="decimal"/>
    </w:lvl>
    <w:lvl w:ilvl="1">
      <w:lvlJc w:val="left"/>
      <w:lvlText w:val="Ц"/>
      <w:numFmt w:val="bullet"/>
      <w:start w:val="1"/>
    </w:lvl>
  </w:abstractNum>
  <w:abstractNum w:abstractNumId="97">
    <w:nsid w:val="6D69"/>
    <w:multiLevelType w:val="hybridMultilevel"/>
    <w:lvl w:ilvl="0">
      <w:lvlJc w:val="left"/>
      <w:lvlText w:val="%1."/>
      <w:numFmt w:val="decimal"/>
      <w:start w:val="3"/>
    </w:lvl>
  </w:abstractNum>
  <w:abstractNum w:abstractNumId="98">
    <w:nsid w:val="6A15"/>
    <w:multiLevelType w:val="hybridMultilevel"/>
    <w:lvl w:ilvl="0">
      <w:lvlJc w:val="left"/>
      <w:lvlText w:val="%1."/>
      <w:numFmt w:val="decimal"/>
      <w:start w:val="4"/>
    </w:lvl>
  </w:abstractNum>
  <w:abstractNum w:abstractNumId="99">
    <w:nsid w:val="4FF8"/>
    <w:multiLevelType w:val="hybridMultilevel"/>
    <w:lvl w:ilvl="0">
      <w:lvlJc w:val="left"/>
      <w:lvlText w:val="-"/>
      <w:numFmt w:val="bullet"/>
      <w:start w:val="1"/>
    </w:lvl>
    <w:lvl w:ilvl="1">
      <w:lvlJc w:val="left"/>
      <w:lvlText w:val="В"/>
      <w:numFmt w:val="bullet"/>
      <w:start w:val="1"/>
    </w:lvl>
  </w:abstractNum>
  <w:abstractNum w:abstractNumId="100">
    <w:nsid w:val="5C46"/>
    <w:multiLevelType w:val="hybridMultilevel"/>
    <w:lvl w:ilvl="0">
      <w:lvlJc w:val="left"/>
      <w:lvlText w:val="В"/>
      <w:numFmt w:val="bullet"/>
      <w:start w:val="1"/>
    </w:lvl>
  </w:abstractNum>
  <w:abstractNum w:abstractNumId="101">
    <w:nsid w:val="486A"/>
    <w:multiLevelType w:val="hybridMultilevel"/>
    <w:lvl w:ilvl="0">
      <w:lvlJc w:val="left"/>
      <w:lvlText w:val="\endash "/>
      <w:numFmt w:val="bullet"/>
      <w:start w:val="1"/>
    </w:lvl>
    <w:lvl w:ilvl="1">
      <w:lvlJc w:val="left"/>
      <w:lvlText w:val="%2."/>
      <w:numFmt w:val="decimal"/>
      <w:start w:val="1"/>
    </w:lvl>
  </w:abstractNum>
  <w:abstractNum w:abstractNumId="102">
    <w:nsid w:val="3004"/>
    <w:multiLevelType w:val="hybridMultilevel"/>
    <w:lvl w:ilvl="0">
      <w:lvlJc w:val="left"/>
      <w:lvlText w:val="\endash "/>
      <w:numFmt w:val="bullet"/>
      <w:start w:val="1"/>
    </w:lvl>
    <w:lvl w:ilvl="1">
      <w:lvlJc w:val="left"/>
      <w:lvlText w:val="%2."/>
      <w:numFmt w:val="decimal"/>
      <w:start w:val="3"/>
    </w:lvl>
    <w:lvl w:ilvl="2">
      <w:lvlJc w:val="left"/>
      <w:lvlText w:val="%3."/>
      <w:numFmt w:val="decimal"/>
      <w:start w:val="5"/>
    </w:lvl>
  </w:abstractNum>
  <w:abstractNum w:abstractNumId="103">
    <w:nsid w:val="1796"/>
    <w:multiLevelType w:val="hybridMultilevel"/>
    <w:lvl w:ilvl="0">
      <w:lvlJc w:val="left"/>
      <w:lvlText w:val="%1."/>
      <w:numFmt w:val="decimal"/>
      <w:start w:val="5"/>
    </w:lvl>
  </w:abstractNum>
  <w:abstractNum w:abstractNumId="104">
    <w:nsid w:val="5E73"/>
    <w:multiLevelType w:val="hybridMultilevel"/>
    <w:lvl w:ilvl="0">
      <w:lvlJc w:val="left"/>
      <w:lvlText w:val="%1."/>
      <w:numFmt w:val="decimal"/>
      <w:start w:val="1"/>
    </w:lvl>
  </w:abstractNum>
  <w:abstractNum w:abstractNumId="105">
    <w:nsid w:val="470E"/>
    <w:multiLevelType w:val="hybridMultilevel"/>
    <w:lvl w:ilvl="0">
      <w:lvlJc w:val="left"/>
      <w:lvlText w:val=""/>
      <w:numFmt w:val="bullet"/>
      <w:start w:val="1"/>
    </w:lvl>
  </w:abstractNum>
  <w:abstractNum w:abstractNumId="106">
    <w:nsid w:val="73D9"/>
    <w:multiLevelType w:val="hybridMultilevel"/>
    <w:lvl w:ilvl="0">
      <w:lvlJc w:val="left"/>
      <w:lvlText w:val="%1."/>
      <w:numFmt w:val="decimal"/>
      <w:start w:val="6"/>
    </w:lvl>
  </w:abstractNum>
  <w:abstractNum w:abstractNumId="107">
    <w:nsid w:val="1F16"/>
    <w:multiLevelType w:val="hybridMultilevel"/>
    <w:lvl w:ilvl="0">
      <w:lvlJc w:val="left"/>
      <w:lvlText w:val="-"/>
      <w:numFmt w:val="bullet"/>
      <w:start w:val="1"/>
    </w:lvl>
  </w:abstractNum>
  <w:abstractNum w:abstractNumId="108">
    <w:nsid w:val="182F"/>
    <w:multiLevelType w:val="hybridMultilevel"/>
    <w:lvl w:ilvl="0">
      <w:lvlJc w:val="left"/>
      <w:lvlText w:val="-"/>
      <w:numFmt w:val="bullet"/>
      <w:start w:val="1"/>
    </w:lvl>
  </w:abstractNum>
  <w:abstractNum w:abstractNumId="109">
    <w:nsid w:val="4D67"/>
    <w:multiLevelType w:val="hybridMultilevel"/>
    <w:lvl w:ilvl="0">
      <w:lvlJc w:val="left"/>
      <w:lvlText w:val="В"/>
      <w:numFmt w:val="bullet"/>
      <w:start w:val="1"/>
    </w:lvl>
  </w:abstractNum>
  <w:abstractNum w:abstractNumId="110">
    <w:nsid w:val="5968"/>
    <w:multiLevelType w:val="hybridMultilevel"/>
    <w:lvl w:ilvl="0">
      <w:lvlJc w:val="left"/>
      <w:lvlText w:val="-"/>
      <w:numFmt w:val="bullet"/>
      <w:start w:val="1"/>
    </w:lvl>
    <w:lvl w:ilvl="1">
      <w:lvlJc w:val="left"/>
      <w:lvlText w:val="%2."/>
      <w:numFmt w:val="decimal"/>
      <w:start w:val="1"/>
    </w:lvl>
  </w:abstractNum>
  <w:abstractNum w:abstractNumId="111">
    <w:nsid w:val="4AD4"/>
    <w:multiLevelType w:val="hybridMultilevel"/>
    <w:lvl w:ilvl="0">
      <w:lvlJc w:val="left"/>
      <w:lvlText w:val="-"/>
      <w:numFmt w:val="bullet"/>
      <w:start w:val="1"/>
    </w:lvl>
    <w:lvl w:ilvl="1">
      <w:lvlJc w:val="left"/>
      <w:lvlText w:val="%2."/>
      <w:numFmt w:val="decimal"/>
      <w:start w:val="2"/>
    </w:lvl>
  </w:abstractNum>
  <w:abstractNum w:abstractNumId="112">
    <w:nsid w:val="2CF7"/>
    <w:multiLevelType w:val="hybridMultilevel"/>
    <w:lvl w:ilvl="0">
      <w:lvlJc w:val="left"/>
      <w:lvlText w:val="%1."/>
      <w:numFmt w:val="decimal"/>
      <w:start w:val="7"/>
    </w:lvl>
  </w:abstractNum>
  <w:abstractNum w:abstractNumId="113">
    <w:nsid w:val="3F4A"/>
    <w:multiLevelType w:val="hybridMultilevel"/>
    <w:lvl w:ilvl="0">
      <w:lvlJc w:val="left"/>
      <w:lvlText w:val="В"/>
      <w:numFmt w:val="bullet"/>
      <w:start w:val="1"/>
    </w:lvl>
  </w:abstractNum>
  <w:abstractNum w:abstractNumId="114">
    <w:nsid w:val="A4A"/>
    <w:multiLevelType w:val="hybridMultilevel"/>
    <w:lvl w:ilvl="0">
      <w:lvlJc w:val="left"/>
      <w:lvlText w:val="В"/>
      <w:numFmt w:val="bullet"/>
      <w:start w:val="1"/>
    </w:lvl>
  </w:abstractNum>
  <w:abstractNum w:abstractNumId="115">
    <w:nsid w:val="5ED0"/>
    <w:multiLevelType w:val="hybridMultilevel"/>
    <w:lvl w:ilvl="0">
      <w:lvlJc w:val="left"/>
      <w:lvlText w:val="и"/>
      <w:numFmt w:val="bullet"/>
      <w:start w:val="1"/>
    </w:lvl>
  </w:abstractNum>
  <w:abstractNum w:abstractNumId="116">
    <w:nsid w:val="4E57"/>
    <w:multiLevelType w:val="hybridMultilevel"/>
    <w:lvl w:ilvl="0">
      <w:lvlJc w:val="left"/>
      <w:lvlText w:val="λ"/>
      <w:numFmt w:val="bullet"/>
      <w:start w:val="1"/>
    </w:lvl>
  </w:abstractNum>
  <w:abstractNum w:abstractNumId="117">
    <w:nsid w:val="4F68"/>
    <w:multiLevelType w:val="hybridMultilevel"/>
    <w:lvl w:ilvl="0">
      <w:lvlJc w:val="left"/>
      <w:lvlText w:val="%1."/>
      <w:numFmt w:val="decimal"/>
      <w:start w:val="1"/>
    </w:lvl>
  </w:abstractNum>
  <w:abstractNum w:abstractNumId="118">
    <w:nsid w:val="5876"/>
    <w:multiLevelType w:val="hybridMultilevel"/>
    <w:lvl w:ilvl="0">
      <w:lvlJc w:val="left"/>
      <w:lvlText w:val="а"/>
      <w:numFmt w:val="bullet"/>
      <w:start w:val="1"/>
    </w:lvl>
    <w:lvl w:ilvl="1">
      <w:lvlJc w:val="left"/>
      <w:lvlText w:val="в"/>
      <w:numFmt w:val="bullet"/>
      <w:start w:val="1"/>
    </w:lvl>
    <w:lvl w:ilvl="2">
      <w:lvlJc w:val="left"/>
      <w:lvlText w:val="%3."/>
      <w:numFmt w:val="decimal"/>
      <w:start w:val="2"/>
    </w:lvl>
  </w:abstractNum>
  <w:abstractNum w:abstractNumId="119">
    <w:nsid w:val="66FA"/>
    <w:multiLevelType w:val="hybridMultilevel"/>
    <w:lvl w:ilvl="0">
      <w:lvlJc w:val="left"/>
      <w:lvlText w:val=""/>
      <w:numFmt w:val="bullet"/>
      <w:start w:val="1"/>
    </w:lvl>
    <w:lvl w:ilvl="1">
      <w:lvlJc w:val="left"/>
      <w:lvlText w:val="%2."/>
      <w:numFmt w:val="decimal"/>
      <w:start w:val="4"/>
    </w:lvl>
  </w:abstractNum>
  <w:abstractNum w:abstractNumId="120">
    <w:nsid w:val="1316"/>
    <w:multiLevelType w:val="hybridMultilevel"/>
    <w:lvl w:ilvl="0">
      <w:lvlJc w:val="left"/>
      <w:lvlText w:val="%1."/>
      <w:numFmt w:val="decimal"/>
      <w:start w:val="8"/>
    </w:lvl>
  </w:abstractNum>
  <w:abstractNum w:abstractNumId="121">
    <w:nsid w:val="49BB"/>
    <w:multiLevelType w:val="hybridMultilevel"/>
    <w:lvl w:ilvl="0">
      <w:lvlJc w:val="left"/>
      <w:lvlText w:val=""/>
      <w:numFmt w:val="bullet"/>
      <w:start w:val="1"/>
    </w:lvl>
  </w:abstractNum>
  <w:abstractNum w:abstractNumId="122">
    <w:nsid w:val="6F11"/>
    <w:multiLevelType w:val="hybridMultilevel"/>
    <w:lvl w:ilvl="0">
      <w:lvlJc w:val="left"/>
      <w:lvlText w:val="+"/>
      <w:numFmt w:val="bullet"/>
      <w:start w:val="1"/>
    </w:lvl>
    <w:lvl w:ilvl="1">
      <w:lvlJc w:val="left"/>
      <w:lvlText w:val="="/>
      <w:numFmt w:val="bullet"/>
      <w:start w:val="1"/>
    </w:lvl>
  </w:abstractNum>
  <w:abstractNum w:abstractNumId="123">
    <w:nsid w:val="74AD"/>
    <w:multiLevelType w:val="hybridMultilevel"/>
    <w:lvl w:ilvl="0">
      <w:lvlJc w:val="left"/>
      <w:lvlText w:val="и"/>
      <w:numFmt w:val="bullet"/>
      <w:start w:val="1"/>
    </w:lvl>
  </w:abstractNum>
  <w:abstractNum w:abstractNumId="124">
    <w:nsid w:val="4EAE"/>
    <w:multiLevelType w:val="hybridMultilevel"/>
    <w:lvl w:ilvl="0">
      <w:lvlJc w:val="left"/>
      <w:lvlText w:val="%1)"/>
      <w:numFmt w:val="decimal"/>
      <w:start w:val="1"/>
    </w:lvl>
    <w:lvl w:ilvl="1">
      <w:lvlJc w:val="left"/>
      <w:lvlText w:val="%2)"/>
      <w:numFmt w:val="decimal"/>
      <w:start w:val="2"/>
    </w:lvl>
  </w:abstractNum>
  <w:abstractNum w:abstractNumId="125">
    <w:nsid w:val="5D24"/>
    <w:multiLevelType w:val="hybridMultilevel"/>
    <w:lvl w:ilvl="0">
      <w:lvlJc w:val="left"/>
      <w:lvlText w:val="В"/>
      <w:numFmt w:val="bullet"/>
      <w:start w:val="1"/>
    </w:lvl>
  </w:abstractNum>
  <w:abstractNum w:abstractNumId="126">
    <w:nsid w:val="588"/>
    <w:multiLevelType w:val="hybridMultilevel"/>
    <w:lvl w:ilvl="0">
      <w:lvlJc w:val="left"/>
      <w:lvlText w:val="%1"/>
      <w:numFmt w:val="decimal"/>
      <w:start w:val="50"/>
    </w:lvl>
  </w:abstractNum>
  <w:abstractNum w:abstractNumId="127">
    <w:nsid w:val="5579"/>
    <w:multiLevelType w:val="hybridMultilevel"/>
    <w:lvl w:ilvl="0">
      <w:lvlJc w:val="left"/>
      <w:lvlText w:val="Н"/>
      <w:numFmt w:val="bullet"/>
      <w:start w:val="1"/>
    </w:lvl>
    <w:lvl w:ilvl="1">
      <w:lvlJc w:val="left"/>
      <w:lvlText w:val="="/>
      <w:numFmt w:val="bullet"/>
      <w:start w:val="1"/>
    </w:lvl>
  </w:abstractNum>
  <w:abstractNum w:abstractNumId="128">
    <w:nsid w:val="7CFE"/>
    <w:multiLevelType w:val="hybridMultilevel"/>
    <w:lvl w:ilvl="0">
      <w:lvlJc w:val="left"/>
      <w:lvlText w:val="%1."/>
      <w:numFmt w:val="decimal"/>
      <w:start w:val="1"/>
    </w:lvl>
  </w:abstractNum>
  <w:abstractNum w:abstractNumId="129">
    <w:nsid w:val="2852"/>
    <w:multiLevelType w:val="hybridMultilevel"/>
    <w:lvl w:ilvl="0">
      <w:lvlJc w:val="left"/>
      <w:lvlText w:val="%1."/>
      <w:numFmt w:val="decimal"/>
      <w:start w:val="2"/>
    </w:lvl>
  </w:abstractNum>
  <w:abstractNum w:abstractNumId="130">
    <w:nsid w:val="48DB"/>
    <w:multiLevelType w:val="hybridMultilevel"/>
    <w:lvl w:ilvl="0">
      <w:lvlJc w:val="left"/>
      <w:lvlText w:val="%1."/>
      <w:numFmt w:val="decimal"/>
      <w:start w:val="3"/>
    </w:lvl>
    <w:lvl w:ilvl="1">
      <w:lvlJc w:val="left"/>
      <w:lvlText w:val="й"/>
      <w:numFmt w:val="bullet"/>
      <w:start w:val="1"/>
    </w:lvl>
  </w:abstractNum>
  <w:abstractNum w:abstractNumId="131">
    <w:nsid w:val="2725"/>
    <w:multiLevelType w:val="hybridMultilevel"/>
    <w:lvl w:ilvl="0">
      <w:lvlJc w:val="left"/>
      <w:lvlText w:val=""/>
      <w:numFmt w:val="bullet"/>
      <w:start w:val="1"/>
    </w:lvl>
  </w:abstractNum>
  <w:abstractNum w:abstractNumId="132">
    <w:nsid w:val="1643"/>
    <w:multiLevelType w:val="hybridMultilevel"/>
    <w:lvl w:ilvl="0">
      <w:lvlJc w:val="left"/>
      <w:lvlText w:val="%1."/>
      <w:numFmt w:val="decimal"/>
      <w:start w:val="6"/>
    </w:lvl>
  </w:abstractNum>
  <w:abstractNum w:abstractNumId="133">
    <w:nsid w:val="DE5"/>
    <w:multiLevelType w:val="hybridMultilevel"/>
    <w:lvl w:ilvl="0">
      <w:lvlJc w:val="left"/>
      <w:lvlText w:val="%1."/>
      <w:numFmt w:val="decimal"/>
      <w:start w:val="7"/>
    </w:lvl>
  </w:abstractNum>
  <w:abstractNum w:abstractNumId="134">
    <w:nsid w:val="6F3C"/>
    <w:multiLevelType w:val="hybridMultilevel"/>
    <w:lvl w:ilvl="0">
      <w:lvlJc w:val="left"/>
      <w:lvlText w:val="%1"/>
      <w:numFmt w:val="decimal"/>
      <w:start w:val="1"/>
    </w:lvl>
    <w:lvl w:ilvl="1">
      <w:lvlJc w:val="left"/>
      <w:lvlText w:val="%2."/>
      <w:numFmt w:val="decimal"/>
      <w:start w:val="9"/>
    </w:lvl>
  </w:abstractNum>
  <w:abstractNum w:abstractNumId="135">
    <w:nsid w:val="6CF4"/>
    <w:multiLevelType w:val="hybridMultilevel"/>
    <w:lvl w:ilvl="0">
      <w:lvlJc w:val="left"/>
      <w:lvlText w:val="%1."/>
      <w:numFmt w:val="decimal"/>
      <w:start w:val="1"/>
    </w:lvl>
    <w:lvl w:ilvl="1">
      <w:lvlJc w:val="left"/>
      <w:lvlText w:val="%2"/>
      <w:numFmt w:val="decimal"/>
      <w:start w:val="1"/>
    </w:lvl>
  </w:abstractNum>
  <w:abstractNum w:abstractNumId="136">
    <w:nsid w:val="5F45"/>
    <w:multiLevelType w:val="hybridMultilevel"/>
    <w:lvl w:ilvl="0">
      <w:lvlJc w:val="left"/>
      <w:lvlText w:val="-"/>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B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3"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fontTable" Target="fontTable.xml" />
  <Relationship Id="rId4" Type="http://schemas.openxmlformats.org/officeDocument/2006/relationships/webSettings" Target="webSettings.xml" />
  <Relationship Id="rId7" Type="http://schemas.openxmlformats.org/officeDocument/2006/relationships/numbering" Target="numbering.xml" />
  <Relationship Id="rId10" Type="http://schemas.openxmlformats.org/officeDocument/2006/relationships/image" Target="media/image1.jpeg" />
</Relationships>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0</ap:Words>
  <ap:Characters>3</ap:Characters>
  <ap:Application/>
  <ap:DocSecurity>0</ap:DocSecurity>
  <ap:Lines>1</ap:Lines>
  <ap:Paragraphs>1</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ap:CharactersWithSpaces>
  <ap:SharedDoc>false</ap:SharedDoc>
  <ap:HyperlinksChanged>false</ap:HyperlinksChanged>
  <ap:AppVersion>1.0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2017-11-07T01:58:48Z</dcterms:created>
  <dcterms:modified xsi:type="dcterms:W3CDTF">2017-11-07T01:58:48Z</dcterms:modified>
</cp:coreProperties>
</file>

<file path=docProps/custom.xml><?xml version="1.0" encoding="utf-8"?>
<Properties xmlns:vt="http://schemas.openxmlformats.org/officeDocument/2006/docPropsVTypes" xmlns="http://schemas.openxmlformats.org/officeDocument/2006/custom-properties"/>
</file>