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89" w:rsidRPr="00D83931" w:rsidRDefault="00EA23F4" w:rsidP="00EA2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931">
        <w:rPr>
          <w:rFonts w:ascii="Times New Roman" w:hAnsi="Times New Roman" w:cs="Times New Roman"/>
          <w:b/>
          <w:sz w:val="24"/>
          <w:szCs w:val="24"/>
        </w:rPr>
        <w:t>Контрольная работа по дисциплине «</w:t>
      </w:r>
      <w:r w:rsidR="00681CEC">
        <w:rPr>
          <w:rFonts w:ascii="Times New Roman" w:hAnsi="Times New Roman" w:cs="Times New Roman"/>
          <w:b/>
          <w:sz w:val="24"/>
          <w:szCs w:val="24"/>
        </w:rPr>
        <w:t>Инвестиционный менеджмент</w:t>
      </w:r>
      <w:r w:rsidRPr="00D83931">
        <w:rPr>
          <w:rFonts w:ascii="Times New Roman" w:hAnsi="Times New Roman" w:cs="Times New Roman"/>
          <w:b/>
          <w:sz w:val="24"/>
          <w:szCs w:val="24"/>
        </w:rPr>
        <w:t>»</w:t>
      </w:r>
    </w:p>
    <w:p w:rsidR="006D6737" w:rsidRDefault="006D6737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Цель контрольной работы заключается в контроле самостоятельной работы и в проверке уровня теоретической подготовки студентов.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Контрольная работа по дисциплине «</w:t>
      </w:r>
      <w:r w:rsidR="00681CEC">
        <w:rPr>
          <w:rFonts w:ascii="Times New Roman" w:hAnsi="Times New Roman" w:cs="Times New Roman"/>
          <w:sz w:val="24"/>
          <w:szCs w:val="24"/>
        </w:rPr>
        <w:t>Инвестиционный менеджмент</w:t>
      </w:r>
      <w:r w:rsidRPr="00EE3156">
        <w:rPr>
          <w:rFonts w:ascii="Times New Roman" w:hAnsi="Times New Roman" w:cs="Times New Roman"/>
          <w:sz w:val="24"/>
          <w:szCs w:val="24"/>
        </w:rPr>
        <w:t xml:space="preserve">» выполняется по одному из нижеприведенных вариантов.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Каждый вариант контрольной работы содержит </w:t>
      </w:r>
      <w:r>
        <w:rPr>
          <w:rFonts w:ascii="Times New Roman" w:hAnsi="Times New Roman" w:cs="Times New Roman"/>
          <w:sz w:val="24"/>
          <w:szCs w:val="24"/>
        </w:rPr>
        <w:t>два задания</w:t>
      </w:r>
      <w:r w:rsidRPr="00EE3156">
        <w:rPr>
          <w:rFonts w:ascii="Times New Roman" w:hAnsi="Times New Roman" w:cs="Times New Roman"/>
          <w:sz w:val="24"/>
          <w:szCs w:val="24"/>
        </w:rPr>
        <w:t>: теоре</w:t>
      </w:r>
      <w:r>
        <w:rPr>
          <w:rFonts w:ascii="Times New Roman" w:hAnsi="Times New Roman" w:cs="Times New Roman"/>
          <w:sz w:val="24"/>
          <w:szCs w:val="24"/>
        </w:rPr>
        <w:t>тический вопрос</w:t>
      </w:r>
      <w:r w:rsidRPr="00EE3156">
        <w:rPr>
          <w:rFonts w:ascii="Times New Roman" w:hAnsi="Times New Roman" w:cs="Times New Roman"/>
          <w:sz w:val="24"/>
          <w:szCs w:val="24"/>
        </w:rPr>
        <w:t xml:space="preserve"> и </w:t>
      </w:r>
      <w:r w:rsidR="00681CEC">
        <w:rPr>
          <w:rFonts w:ascii="Times New Roman" w:hAnsi="Times New Roman" w:cs="Times New Roman"/>
          <w:sz w:val="24"/>
          <w:szCs w:val="24"/>
        </w:rPr>
        <w:t>практическую задачу</w:t>
      </w:r>
      <w:r w:rsidRPr="00EE3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рассмотрении теоретического вопроса</w:t>
      </w:r>
      <w:r w:rsidRPr="00EE3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необходио </w:t>
      </w:r>
      <w:r w:rsidRPr="00EE3156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пользовать</w:t>
      </w:r>
      <w:r w:rsidRPr="00EE3156">
        <w:rPr>
          <w:rFonts w:ascii="Times New Roman" w:hAnsi="Times New Roman" w:cs="Times New Roman"/>
          <w:sz w:val="24"/>
          <w:szCs w:val="24"/>
        </w:rPr>
        <w:t xml:space="preserve"> учебную, методическую</w:t>
      </w:r>
      <w:r>
        <w:rPr>
          <w:rFonts w:ascii="Times New Roman" w:hAnsi="Times New Roman" w:cs="Times New Roman"/>
          <w:sz w:val="24"/>
          <w:szCs w:val="24"/>
        </w:rPr>
        <w:t xml:space="preserve"> и периодическую литературу. </w:t>
      </w:r>
      <w:r w:rsidRPr="00EE3156">
        <w:rPr>
          <w:rFonts w:ascii="Times New Roman" w:hAnsi="Times New Roman" w:cs="Times New Roman"/>
          <w:sz w:val="24"/>
          <w:szCs w:val="24"/>
        </w:rPr>
        <w:t xml:space="preserve">Для пояснения ответов рекомендуется использовать таблицы, графики, схемы и другой иллюстративный материал. </w:t>
      </w:r>
      <w:r>
        <w:rPr>
          <w:rFonts w:ascii="Times New Roman" w:hAnsi="Times New Roman" w:cs="Times New Roman"/>
          <w:sz w:val="24"/>
          <w:szCs w:val="24"/>
        </w:rPr>
        <w:t>Объем теоретичесского материала 5-8 страниц</w:t>
      </w:r>
      <w:r w:rsidRPr="00EE3156">
        <w:rPr>
          <w:rFonts w:ascii="Times New Roman" w:hAnsi="Times New Roman" w:cs="Times New Roman"/>
          <w:sz w:val="24"/>
          <w:szCs w:val="24"/>
        </w:rPr>
        <w:t>.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</w:t>
      </w:r>
      <w:r>
        <w:rPr>
          <w:rFonts w:ascii="Times New Roman" w:hAnsi="Times New Roman" w:cs="Times New Roman"/>
          <w:sz w:val="24"/>
          <w:szCs w:val="24"/>
        </w:rPr>
        <w:t>«БГУ»</w:t>
      </w:r>
      <w:r w:rsidRPr="00EE31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 xml:space="preserve">В конце работы следует привести список используемых источников. </w:t>
      </w:r>
    </w:p>
    <w:p w:rsid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156">
        <w:rPr>
          <w:rFonts w:ascii="Times New Roman" w:hAnsi="Times New Roman" w:cs="Times New Roman"/>
          <w:sz w:val="24"/>
          <w:szCs w:val="24"/>
        </w:rPr>
        <w:t>Вариант задания выбирается по последней цифре номера зачет</w:t>
      </w:r>
      <w:r w:rsidR="00B319DD">
        <w:rPr>
          <w:rFonts w:ascii="Times New Roman" w:hAnsi="Times New Roman" w:cs="Times New Roman"/>
          <w:sz w:val="24"/>
          <w:szCs w:val="24"/>
        </w:rPr>
        <w:t>ной книжки, согласно таблицы:</w:t>
      </w:r>
    </w:p>
    <w:tbl>
      <w:tblPr>
        <w:tblStyle w:val="a3"/>
        <w:tblW w:w="0" w:type="auto"/>
        <w:tblLook w:val="04A0"/>
      </w:tblPr>
      <w:tblGrid>
        <w:gridCol w:w="1132"/>
        <w:gridCol w:w="968"/>
        <w:gridCol w:w="968"/>
        <w:gridCol w:w="971"/>
        <w:gridCol w:w="968"/>
        <w:gridCol w:w="968"/>
        <w:gridCol w:w="969"/>
        <w:gridCol w:w="969"/>
        <w:gridCol w:w="969"/>
        <w:gridCol w:w="972"/>
      </w:tblGrid>
      <w:tr w:rsidR="00EE3156" w:rsidTr="00D14440">
        <w:tc>
          <w:tcPr>
            <w:tcW w:w="985" w:type="dxa"/>
            <w:shd w:val="clear" w:color="auto" w:fill="D9D9D9" w:themeFill="background1" w:themeFillShade="D9"/>
          </w:tcPr>
          <w:p w:rsidR="00EE3156" w:rsidRPr="00EE3156" w:rsidRDefault="00EE3156" w:rsidP="00EE3156">
            <w:pPr>
              <w:jc w:val="both"/>
            </w:pPr>
            <w:r w:rsidRPr="00EE3156">
              <w:t>Номер варианта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2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4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5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6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8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9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10</w:t>
            </w:r>
          </w:p>
        </w:tc>
      </w:tr>
      <w:tr w:rsidR="00EE3156" w:rsidTr="00EE3156">
        <w:tc>
          <w:tcPr>
            <w:tcW w:w="985" w:type="dxa"/>
          </w:tcPr>
          <w:p w:rsidR="00EE3156" w:rsidRPr="00EE3156" w:rsidRDefault="00EE3156" w:rsidP="00EE3156">
            <w:pPr>
              <w:jc w:val="both"/>
            </w:pPr>
            <w:r w:rsidRPr="00EE3156">
              <w:t>Последняя цифра зачетной книжки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3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6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10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7</w:t>
            </w:r>
          </w:p>
        </w:tc>
        <w:tc>
          <w:tcPr>
            <w:tcW w:w="985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1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9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8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5</w:t>
            </w:r>
          </w:p>
        </w:tc>
        <w:tc>
          <w:tcPr>
            <w:tcW w:w="986" w:type="dxa"/>
            <w:vAlign w:val="center"/>
          </w:tcPr>
          <w:p w:rsidR="00EE3156" w:rsidRPr="00EE3156" w:rsidRDefault="00EE3156" w:rsidP="00EE3156">
            <w:pPr>
              <w:jc w:val="center"/>
            </w:pPr>
            <w:r>
              <w:t>2</w:t>
            </w:r>
          </w:p>
        </w:tc>
      </w:tr>
    </w:tbl>
    <w:p w:rsidR="00EE3156" w:rsidRPr="00EE3156" w:rsidRDefault="00EE3156" w:rsidP="00EE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3F4" w:rsidRPr="00EE3156" w:rsidRDefault="00EA23F4" w:rsidP="00EE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79" w:rsidRDefault="00F07192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Теоретическое задание</w:t>
      </w:r>
    </w:p>
    <w:p w:rsidR="00FC1441" w:rsidRPr="00FF22E0" w:rsidRDefault="00FC1441" w:rsidP="00C9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Задачи и функции реализации инвестиционного менеджмента. Основные направления их реализации.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Методика оценки стоимости инвестиционного капитала.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Организационное обеспечение инвестиционного менеджмента и факторы, на него влияющие.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Состав и структура инвестиционного капитала, методы ее оптимизации. Управление формированием оптимальной структуры инвестиционного капитала.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Информационное обеспечение инвестиционного менеджмента.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Особенности оценки стоимости капитала в условиях неопределенности, рисков, ограниченности возможности получения денежных средств.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Оценка и прогнозирование макроэкономических показателей развития инвестиционного рынка.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Особенности инвестиционных расчетов в условиях внутренних и внешних ограничений финансовых ресурсов.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Инвестиционная стратегия предприятия, ее связь с общей стратегией экономического развития и предпосылки формирования.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Принятие и обоснование инвестиционных решений в условиях определенности и неопределенности.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Инвестиционные ресурсы предприятия,  методические подходы и особенности определения общей потребности в них.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Влияние жизненного цикла предприятия на его инвестиционную привлекательность.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7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Конъюнктура инвестиционного рынка и этапы ее исследования.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Методы построения графиков и определения точки равновесия инвестиционных потребностей и финансовых возможностей предприятия.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8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Состав и структура комплекса инвестиционных отраслей, характеристика межотраслевых связей в инвестиционных процессе.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Цель, принципы, основные формы и методика управления финансовыми инвестициями предприятия.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9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Этапы разработки и оценки инвестиционной стратегии предприятия.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Цели, задачи, подходы к формированию портфеля финансовых инвестиций и его оптимизация.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CEC" w:rsidRPr="00681CEC" w:rsidRDefault="00681CEC" w:rsidP="00681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EC">
        <w:rPr>
          <w:rFonts w:ascii="Times New Roman" w:hAnsi="Times New Roman" w:cs="Times New Roman"/>
          <w:b/>
          <w:sz w:val="24"/>
          <w:szCs w:val="24"/>
        </w:rPr>
        <w:t>Вариант 10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1CEC">
        <w:rPr>
          <w:rFonts w:ascii="Times New Roman" w:hAnsi="Times New Roman" w:cs="Times New Roman"/>
          <w:sz w:val="24"/>
          <w:szCs w:val="24"/>
        </w:rPr>
        <w:t>Правление портфелем финансовых инвестиций на предприятии.</w:t>
      </w:r>
    </w:p>
    <w:p w:rsidR="00681CEC" w:rsidRPr="00681CEC" w:rsidRDefault="00681CEC" w:rsidP="006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1CEC">
        <w:rPr>
          <w:rFonts w:ascii="Times New Roman" w:hAnsi="Times New Roman" w:cs="Times New Roman"/>
          <w:sz w:val="24"/>
          <w:szCs w:val="24"/>
        </w:rPr>
        <w:t>Система показателей и методы исследования инвестиционной привлекательности регионов и отраслей экономики.</w:t>
      </w:r>
    </w:p>
    <w:p w:rsidR="000B4D32" w:rsidRDefault="000B4D32" w:rsidP="000B4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92" w:rsidRDefault="00F07192" w:rsidP="00F07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F07192" w:rsidRDefault="00F07192" w:rsidP="000B4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92" w:rsidRPr="00F07192" w:rsidRDefault="00F07192" w:rsidP="00F0719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07192">
        <w:rPr>
          <w:rFonts w:ascii="Times New Roman" w:hAnsi="Times New Roman" w:cs="Times New Roman"/>
          <w:i/>
          <w:sz w:val="24"/>
          <w:szCs w:val="24"/>
        </w:rPr>
        <w:t>Задача</w:t>
      </w:r>
    </w:p>
    <w:p w:rsidR="00F07192" w:rsidRPr="00F07192" w:rsidRDefault="00F07192" w:rsidP="00F07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192">
        <w:rPr>
          <w:rFonts w:ascii="Times New Roman" w:hAnsi="Times New Roman" w:cs="Times New Roman"/>
          <w:sz w:val="24"/>
          <w:szCs w:val="24"/>
        </w:rPr>
        <w:t>Капитал предприятия сформирован собственными и заемными средств</w:t>
      </w:r>
      <w:r w:rsidRPr="00F07192">
        <w:rPr>
          <w:rFonts w:ascii="Times New Roman" w:hAnsi="Times New Roman" w:cs="Times New Roman"/>
          <w:sz w:val="24"/>
          <w:szCs w:val="24"/>
        </w:rPr>
        <w:t>а</w:t>
      </w:r>
      <w:r w:rsidRPr="00F07192">
        <w:rPr>
          <w:rFonts w:ascii="Times New Roman" w:hAnsi="Times New Roman" w:cs="Times New Roman"/>
          <w:sz w:val="24"/>
          <w:szCs w:val="24"/>
        </w:rPr>
        <w:t>ми. Определите среднюю взвешенную стоимость капитала с целью использов</w:t>
      </w:r>
      <w:r w:rsidRPr="00F07192">
        <w:rPr>
          <w:rFonts w:ascii="Times New Roman" w:hAnsi="Times New Roman" w:cs="Times New Roman"/>
          <w:sz w:val="24"/>
          <w:szCs w:val="24"/>
        </w:rPr>
        <w:t>а</w:t>
      </w:r>
      <w:r w:rsidRPr="00F07192">
        <w:rPr>
          <w:rFonts w:ascii="Times New Roman" w:hAnsi="Times New Roman" w:cs="Times New Roman"/>
          <w:sz w:val="24"/>
          <w:szCs w:val="24"/>
        </w:rPr>
        <w:t>ния его при оценке эффективности инвестиционных проектов.</w:t>
      </w:r>
    </w:p>
    <w:p w:rsidR="00F07192" w:rsidRPr="00F07192" w:rsidRDefault="00F07192" w:rsidP="00F07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192">
        <w:rPr>
          <w:rFonts w:ascii="Times New Roman" w:hAnsi="Times New Roman" w:cs="Times New Roman"/>
          <w:sz w:val="24"/>
          <w:szCs w:val="24"/>
        </w:rPr>
        <w:t>Исходные данные для решения задачи по</w:t>
      </w:r>
      <w:r>
        <w:rPr>
          <w:rFonts w:ascii="Times New Roman" w:hAnsi="Times New Roman" w:cs="Times New Roman"/>
          <w:sz w:val="24"/>
          <w:szCs w:val="24"/>
        </w:rPr>
        <w:t xml:space="preserve"> вариантам приведены в таблице 1</w:t>
      </w:r>
      <w:r w:rsidRPr="00F07192">
        <w:rPr>
          <w:rFonts w:ascii="Times New Roman" w:hAnsi="Times New Roman" w:cs="Times New Roman"/>
          <w:sz w:val="24"/>
          <w:szCs w:val="24"/>
        </w:rPr>
        <w:t>.</w:t>
      </w:r>
    </w:p>
    <w:p w:rsidR="00F07192" w:rsidRPr="00F07192" w:rsidRDefault="00F07192" w:rsidP="00F0719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07192" w:rsidRPr="00F07192" w:rsidRDefault="00F07192" w:rsidP="00F0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192">
        <w:rPr>
          <w:rFonts w:ascii="Times New Roman" w:hAnsi="Times New Roman" w:cs="Times New Roman"/>
          <w:sz w:val="24"/>
          <w:szCs w:val="24"/>
        </w:rPr>
        <w:t>Исходные данные для определения средней взвешенной</w:t>
      </w:r>
    </w:p>
    <w:p w:rsidR="00F07192" w:rsidRPr="00F07192" w:rsidRDefault="00F07192" w:rsidP="00F0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192">
        <w:rPr>
          <w:rFonts w:ascii="Times New Roman" w:hAnsi="Times New Roman" w:cs="Times New Roman"/>
          <w:sz w:val="24"/>
          <w:szCs w:val="24"/>
        </w:rPr>
        <w:t>стоимости кап</w:t>
      </w:r>
      <w:r w:rsidRPr="00F07192">
        <w:rPr>
          <w:rFonts w:ascii="Times New Roman" w:hAnsi="Times New Roman" w:cs="Times New Roman"/>
          <w:sz w:val="24"/>
          <w:szCs w:val="24"/>
        </w:rPr>
        <w:t>и</w:t>
      </w:r>
      <w:r w:rsidRPr="00F07192">
        <w:rPr>
          <w:rFonts w:ascii="Times New Roman" w:hAnsi="Times New Roman" w:cs="Times New Roman"/>
          <w:sz w:val="24"/>
          <w:szCs w:val="24"/>
        </w:rPr>
        <w:t>тала предприятия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0"/>
        <w:gridCol w:w="760"/>
        <w:gridCol w:w="763"/>
        <w:gridCol w:w="763"/>
        <w:gridCol w:w="763"/>
        <w:gridCol w:w="763"/>
        <w:gridCol w:w="761"/>
        <w:gridCol w:w="763"/>
        <w:gridCol w:w="763"/>
        <w:gridCol w:w="763"/>
        <w:gridCol w:w="782"/>
      </w:tblGrid>
      <w:tr w:rsidR="00F07192" w:rsidRPr="00F07192" w:rsidTr="00F07192">
        <w:tc>
          <w:tcPr>
            <w:tcW w:w="1122" w:type="pct"/>
            <w:vMerge w:val="restar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878" w:type="pct"/>
            <w:gridSpan w:val="10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Вариант</w:t>
            </w:r>
          </w:p>
        </w:tc>
      </w:tr>
      <w:tr w:rsidR="00F07192" w:rsidRPr="00F07192" w:rsidTr="00F07192">
        <w:tc>
          <w:tcPr>
            <w:tcW w:w="1122" w:type="pct"/>
            <w:vMerge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Рыночная стоимость обыкновенных а</w:t>
            </w:r>
            <w:r w:rsidRPr="00F07192">
              <w:rPr>
                <w:rFonts w:ascii="Times New Roman" w:hAnsi="Times New Roman" w:cs="Times New Roman"/>
              </w:rPr>
              <w:t>к</w:t>
            </w:r>
            <w:r w:rsidRPr="00F07192">
              <w:rPr>
                <w:rFonts w:ascii="Times New Roman" w:hAnsi="Times New Roman" w:cs="Times New Roman"/>
              </w:rPr>
              <w:t>ций, тыс. руб.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650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Стоимость привил</w:t>
            </w:r>
            <w:r w:rsidRPr="00F07192">
              <w:rPr>
                <w:rFonts w:ascii="Times New Roman" w:hAnsi="Times New Roman" w:cs="Times New Roman"/>
              </w:rPr>
              <w:t>е</w:t>
            </w:r>
            <w:r w:rsidRPr="00F07192">
              <w:rPr>
                <w:rFonts w:ascii="Times New Roman" w:hAnsi="Times New Roman" w:cs="Times New Roman"/>
              </w:rPr>
              <w:t>гированных акций, тыс. руб.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Общая стоимость денежного капитала, тыс. руб.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480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Стоимость собс</w:t>
            </w:r>
            <w:r w:rsidRPr="00F07192">
              <w:rPr>
                <w:rFonts w:ascii="Times New Roman" w:hAnsi="Times New Roman" w:cs="Times New Roman"/>
              </w:rPr>
              <w:t>т</w:t>
            </w:r>
            <w:r w:rsidRPr="00F07192">
              <w:rPr>
                <w:rFonts w:ascii="Times New Roman" w:hAnsi="Times New Roman" w:cs="Times New Roman"/>
              </w:rPr>
              <w:t>венного капитала, %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14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lastRenderedPageBreak/>
              <w:t>Стоимость привил</w:t>
            </w:r>
            <w:r w:rsidRPr="00F07192">
              <w:rPr>
                <w:rFonts w:ascii="Times New Roman" w:hAnsi="Times New Roman" w:cs="Times New Roman"/>
              </w:rPr>
              <w:t>е</w:t>
            </w:r>
            <w:r w:rsidRPr="00F07192">
              <w:rPr>
                <w:rFonts w:ascii="Times New Roman" w:hAnsi="Times New Roman" w:cs="Times New Roman"/>
              </w:rPr>
              <w:t>гированных акций, %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Стоимость облиг</w:t>
            </w:r>
            <w:r w:rsidRPr="00F07192">
              <w:rPr>
                <w:rFonts w:ascii="Times New Roman" w:hAnsi="Times New Roman" w:cs="Times New Roman"/>
              </w:rPr>
              <w:t>а</w:t>
            </w:r>
            <w:r w:rsidRPr="00F07192">
              <w:rPr>
                <w:rFonts w:ascii="Times New Roman" w:hAnsi="Times New Roman" w:cs="Times New Roman"/>
              </w:rPr>
              <w:t>ций предприятия, %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10</w:t>
            </w:r>
          </w:p>
        </w:tc>
      </w:tr>
      <w:tr w:rsidR="00F07192" w:rsidRPr="00F07192" w:rsidTr="00F07192">
        <w:tc>
          <w:tcPr>
            <w:tcW w:w="1122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Ставка налога на прибыль, %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6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F07192" w:rsidRPr="00F07192" w:rsidRDefault="00F07192" w:rsidP="00F07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192">
              <w:rPr>
                <w:rFonts w:ascii="Times New Roman" w:hAnsi="Times New Roman" w:cs="Times New Roman"/>
              </w:rPr>
              <w:t>20</w:t>
            </w:r>
          </w:p>
        </w:tc>
      </w:tr>
    </w:tbl>
    <w:p w:rsidR="00F33F69" w:rsidRDefault="00F33F69" w:rsidP="00F07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FBC">
        <w:rPr>
          <w:rFonts w:ascii="Times New Roman" w:hAnsi="Times New Roman" w:cs="Times New Roman"/>
          <w:i/>
          <w:sz w:val="24"/>
          <w:szCs w:val="24"/>
        </w:rPr>
        <w:t>Методические рекомендации к выполнению задачи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Оценка стоимости капитала инвестиционного проекта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Стоимость капитала - это доход, который должны принести инвестиции для того, чтобы они оправдали себя с точки зрения инвестора. Стоимость кап</w:t>
      </w:r>
      <w:r w:rsidRPr="00192FBC">
        <w:rPr>
          <w:rFonts w:ascii="Times New Roman" w:hAnsi="Times New Roman" w:cs="Times New Roman"/>
          <w:sz w:val="24"/>
          <w:szCs w:val="24"/>
        </w:rPr>
        <w:t>и</w:t>
      </w:r>
      <w:r w:rsidRPr="00192FBC">
        <w:rPr>
          <w:rFonts w:ascii="Times New Roman" w:hAnsi="Times New Roman" w:cs="Times New Roman"/>
          <w:sz w:val="24"/>
          <w:szCs w:val="24"/>
        </w:rPr>
        <w:t>тала выражается в виде процентной ставки от суммы капитала, вложенного в какой-либо бизнес, которую следует заплатить инвестору в течение года за и</w:t>
      </w:r>
      <w:r w:rsidRPr="00192FBC">
        <w:rPr>
          <w:rFonts w:ascii="Times New Roman" w:hAnsi="Times New Roman" w:cs="Times New Roman"/>
          <w:sz w:val="24"/>
          <w:szCs w:val="24"/>
        </w:rPr>
        <w:t>с</w:t>
      </w:r>
      <w:r w:rsidRPr="00192FBC">
        <w:rPr>
          <w:rFonts w:ascii="Times New Roman" w:hAnsi="Times New Roman" w:cs="Times New Roman"/>
          <w:sz w:val="24"/>
          <w:szCs w:val="24"/>
        </w:rPr>
        <w:t>пользование его капитала.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Структура капитала инвестиционного проекта включает в себя: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1) собственный капитала в виде обыкновенных акций и накопленной прибыли за счет деятельности предприятия;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2) сумму средств, привлеченных за счет продажи привилегированных а</w:t>
      </w:r>
      <w:r w:rsidRPr="00192FBC">
        <w:rPr>
          <w:rFonts w:ascii="Times New Roman" w:hAnsi="Times New Roman" w:cs="Times New Roman"/>
          <w:sz w:val="24"/>
          <w:szCs w:val="24"/>
        </w:rPr>
        <w:t>к</w:t>
      </w:r>
      <w:r w:rsidRPr="00192FBC">
        <w:rPr>
          <w:rFonts w:ascii="Times New Roman" w:hAnsi="Times New Roman" w:cs="Times New Roman"/>
          <w:sz w:val="24"/>
          <w:szCs w:val="24"/>
        </w:rPr>
        <w:t>ций;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3) заемный капитал в виде долгосрочного банковского кредита и выпуска облигаций.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Стоимость собственного капитала предприятия можно определить с и</w:t>
      </w:r>
      <w:r w:rsidRPr="00192FBC">
        <w:rPr>
          <w:rFonts w:ascii="Times New Roman" w:hAnsi="Times New Roman" w:cs="Times New Roman"/>
          <w:sz w:val="24"/>
          <w:szCs w:val="24"/>
        </w:rPr>
        <w:t>с</w:t>
      </w:r>
      <w:r w:rsidRPr="00192FBC">
        <w:rPr>
          <w:rFonts w:ascii="Times New Roman" w:hAnsi="Times New Roman" w:cs="Times New Roman"/>
          <w:sz w:val="24"/>
          <w:szCs w:val="24"/>
        </w:rPr>
        <w:t>пользованием различных моделей:</w:t>
      </w:r>
    </w:p>
    <w:p w:rsid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а ) на основе модели прогнозирования роста дивидендов стоимость со</w:t>
      </w:r>
      <w:r w:rsidRPr="00192FBC">
        <w:rPr>
          <w:rFonts w:ascii="Times New Roman" w:hAnsi="Times New Roman" w:cs="Times New Roman"/>
          <w:sz w:val="24"/>
          <w:szCs w:val="24"/>
        </w:rPr>
        <w:t>б</w:t>
      </w:r>
      <w:r w:rsidRPr="00192FBC">
        <w:rPr>
          <w:rFonts w:ascii="Times New Roman" w:hAnsi="Times New Roman" w:cs="Times New Roman"/>
          <w:sz w:val="24"/>
          <w:szCs w:val="24"/>
        </w:rPr>
        <w:t>ственного капитала определяется по формуле:</w:t>
      </w:r>
    </w:p>
    <w:p w:rsidR="00192FBC" w:rsidRPr="00192FBC" w:rsidRDefault="00192FBC" w:rsidP="00192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12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2.25pt" o:ole="">
            <v:imagedata r:id="rId7" o:title=""/>
          </v:shape>
          <o:OLEObject Type="Embed" ProgID="Equation.3" ShapeID="_x0000_i1025" DrawAspect="Content" ObjectID="_1538586494" r:id="rId8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Се - стоимость собственного капитала, %;</w: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D1- дивиденд, обещанный компанией в первый год реализации инвестиц</w:t>
      </w:r>
      <w:r w:rsidRPr="00192FBC">
        <w:rPr>
          <w:rFonts w:ascii="Times New Roman" w:hAnsi="Times New Roman" w:cs="Times New Roman"/>
          <w:sz w:val="24"/>
          <w:szCs w:val="24"/>
        </w:rPr>
        <w:t>и</w:t>
      </w:r>
      <w:r w:rsidRPr="00192FBC">
        <w:rPr>
          <w:rFonts w:ascii="Times New Roman" w:hAnsi="Times New Roman" w:cs="Times New Roman"/>
          <w:sz w:val="24"/>
          <w:szCs w:val="24"/>
        </w:rPr>
        <w:t>онного проекта, руб.;</w: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P - рыночная цена одной акции, руб.;</w: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 xml:space="preserve"> g- прогнозируемый ежегодный рост дивидендов, %.</w:t>
      </w:r>
    </w:p>
    <w:p w:rsid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б) на основе модели прибыли на акцию стоимость собственного капитала определяется по формуле: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920" w:dyaOrig="660">
          <v:shape id="_x0000_i1026" type="#_x0000_t75" style="width:45.75pt;height:33pt" o:ole="">
            <v:imagedata r:id="rId9" o:title=""/>
          </v:shape>
          <o:OLEObject Type="Embed" ProgID="Equation.3" ShapeID="_x0000_i1026" DrawAspect="Content" ObjectID="_1538586495" r:id="rId10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П - величина прибыли на одну акцию, руб.</w:t>
      </w:r>
    </w:p>
    <w:p w:rsid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в) на основе ценовой модели капитальных активов стоимость собственн</w:t>
      </w:r>
      <w:r w:rsidRPr="00192FBC">
        <w:rPr>
          <w:rFonts w:ascii="Times New Roman" w:hAnsi="Times New Roman" w:cs="Times New Roman"/>
          <w:sz w:val="24"/>
          <w:szCs w:val="24"/>
        </w:rPr>
        <w:t>о</w:t>
      </w:r>
      <w:r w:rsidRPr="00192FBC">
        <w:rPr>
          <w:rFonts w:ascii="Times New Roman" w:hAnsi="Times New Roman" w:cs="Times New Roman"/>
          <w:sz w:val="24"/>
          <w:szCs w:val="24"/>
        </w:rPr>
        <w:t>го капитала определяется по формуле: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2420" w:dyaOrig="360">
          <v:shape id="_x0000_i1027" type="#_x0000_t75" style="width:120.75pt;height:18pt" o:ole="">
            <v:imagedata r:id="rId11" o:title=""/>
          </v:shape>
          <o:OLEObject Type="Embed" ProgID="Equation.3" ShapeID="_x0000_i1027" DrawAspect="Content" ObjectID="_1538586496" r:id="rId12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СRF - показатель прибыльности (отдачи) для безрискового вложения кап</w:t>
      </w:r>
      <w:r w:rsidRPr="00192FBC">
        <w:rPr>
          <w:rFonts w:ascii="Times New Roman" w:hAnsi="Times New Roman" w:cs="Times New Roman"/>
          <w:sz w:val="24"/>
          <w:szCs w:val="24"/>
        </w:rPr>
        <w:t>и</w:t>
      </w:r>
      <w:r w:rsidRPr="00192FBC">
        <w:rPr>
          <w:rFonts w:ascii="Times New Roman" w:hAnsi="Times New Roman" w:cs="Times New Roman"/>
          <w:sz w:val="24"/>
          <w:szCs w:val="24"/>
        </w:rPr>
        <w:t>тала, %;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 - средний по рынку показатель прибыльности, %;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 </w:t>
      </w:r>
      <w:r w:rsidRPr="00192FBC">
        <w:rPr>
          <w:rFonts w:ascii="Times New Roman" w:hAnsi="Times New Roman" w:cs="Times New Roman"/>
          <w:sz w:val="24"/>
          <w:szCs w:val="24"/>
        </w:rPr>
        <w:object w:dxaOrig="240" w:dyaOrig="320">
          <v:shape id="_x0000_i1028" type="#_x0000_t75" style="width:12pt;height:15.75pt" o:ole="">
            <v:imagedata r:id="rId13" o:title=""/>
          </v:shape>
          <o:OLEObject Type="Embed" ProgID="Equation.3" ShapeID="_x0000_i1028" DrawAspect="Content" ObjectID="_1538586497" r:id="rId14"/>
        </w:object>
      </w:r>
      <w:r w:rsidRPr="00192FBC">
        <w:rPr>
          <w:rFonts w:ascii="Times New Roman" w:hAnsi="Times New Roman" w:cs="Times New Roman"/>
          <w:sz w:val="24"/>
          <w:szCs w:val="24"/>
        </w:rPr>
        <w:t>- фактор риска.</w:t>
      </w:r>
    </w:p>
    <w:p w:rsid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г) на основе модели премии за риск стоимость собственного капитала о</w:t>
      </w:r>
      <w:r w:rsidRPr="00192FBC">
        <w:rPr>
          <w:rFonts w:ascii="Times New Roman" w:hAnsi="Times New Roman" w:cs="Times New Roman"/>
          <w:sz w:val="24"/>
          <w:szCs w:val="24"/>
        </w:rPr>
        <w:t>п</w:t>
      </w:r>
      <w:r w:rsidRPr="00192FBC">
        <w:rPr>
          <w:rFonts w:ascii="Times New Roman" w:hAnsi="Times New Roman" w:cs="Times New Roman"/>
          <w:sz w:val="24"/>
          <w:szCs w:val="24"/>
        </w:rPr>
        <w:t>ределяется по формуле:</w:t>
      </w:r>
    </w:p>
    <w:p w:rsidR="00192FBC" w:rsidRPr="00192FBC" w:rsidRDefault="00192FBC" w:rsidP="00192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1440" w:dyaOrig="360">
          <v:shape id="_x0000_i1029" type="#_x0000_t75" style="width:1in;height:18pt" o:ole="">
            <v:imagedata r:id="rId15" o:title=""/>
          </v:shape>
          <o:OLEObject Type="Embed" ProgID="Equation.3" ShapeID="_x0000_i1029" DrawAspect="Content" ObjectID="_1538586498" r:id="rId16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СН - уровень отдачи на вложение денег инвестором в обычные (номинал</w:t>
      </w:r>
      <w:r w:rsidRPr="00192FBC">
        <w:rPr>
          <w:rFonts w:ascii="Times New Roman" w:hAnsi="Times New Roman" w:cs="Times New Roman"/>
          <w:sz w:val="24"/>
          <w:szCs w:val="24"/>
        </w:rPr>
        <w:t>ь</w:t>
      </w:r>
      <w:r w:rsidRPr="00192FBC">
        <w:rPr>
          <w:rFonts w:ascii="Times New Roman" w:hAnsi="Times New Roman" w:cs="Times New Roman"/>
          <w:sz w:val="24"/>
          <w:szCs w:val="24"/>
        </w:rPr>
        <w:t>ные) для него возможности (средняя прибыльность на рынке ссудного кап</w:t>
      </w:r>
      <w:r w:rsidRPr="00192FBC">
        <w:rPr>
          <w:rFonts w:ascii="Times New Roman" w:hAnsi="Times New Roman" w:cs="Times New Roman"/>
          <w:sz w:val="24"/>
          <w:szCs w:val="24"/>
        </w:rPr>
        <w:t>и</w:t>
      </w:r>
      <w:r w:rsidRPr="00192FBC">
        <w:rPr>
          <w:rFonts w:ascii="Times New Roman" w:hAnsi="Times New Roman" w:cs="Times New Roman"/>
          <w:sz w:val="24"/>
          <w:szCs w:val="24"/>
        </w:rPr>
        <w:t>тала), %;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RP - премия за риск, %.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lastRenderedPageBreak/>
        <w:t>Стоимость привилегированных акций можно определить с помощью м</w:t>
      </w:r>
      <w:r w:rsidRPr="00192FBC">
        <w:rPr>
          <w:rFonts w:ascii="Times New Roman" w:hAnsi="Times New Roman" w:cs="Times New Roman"/>
          <w:sz w:val="24"/>
          <w:szCs w:val="24"/>
        </w:rPr>
        <w:t>о</w:t>
      </w:r>
      <w:r w:rsidRPr="00192FBC">
        <w:rPr>
          <w:rFonts w:ascii="Times New Roman" w:hAnsi="Times New Roman" w:cs="Times New Roman"/>
          <w:sz w:val="24"/>
          <w:szCs w:val="24"/>
        </w:rPr>
        <w:t>дели: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180" w:dyaOrig="340">
          <v:shape id="_x0000_i1030" type="#_x0000_t75" style="width:9pt;height:17.25pt" o:ole="">
            <v:imagedata r:id="rId17" o:title=""/>
          </v:shape>
          <o:OLEObject Type="Embed" ProgID="Equation.3" ShapeID="_x0000_i1030" DrawAspect="Content" ObjectID="_1538586499" r:id="rId18"/>
        </w:object>
      </w:r>
      <w:r w:rsidRPr="00192FBC">
        <w:rPr>
          <w:rFonts w:ascii="Times New Roman" w:hAnsi="Times New Roman" w:cs="Times New Roman"/>
          <w:sz w:val="24"/>
          <w:szCs w:val="24"/>
        </w:rPr>
        <w:object w:dxaOrig="940" w:dyaOrig="660">
          <v:shape id="_x0000_i1031" type="#_x0000_t75" style="width:47.25pt;height:33pt" o:ole="">
            <v:imagedata r:id="rId19" o:title=""/>
          </v:shape>
          <o:OLEObject Type="Embed" ProgID="Equation.3" ShapeID="_x0000_i1031" DrawAspect="Content" ObjectID="_1538586500" r:id="rId20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FBC">
        <w:rPr>
          <w:rFonts w:ascii="Times New Roman" w:hAnsi="Times New Roman" w:cs="Times New Roman"/>
          <w:sz w:val="24"/>
          <w:szCs w:val="24"/>
        </w:rPr>
        <w:t>D - величина ежегодного дивиденда на одну привилегированную акцию, руб.;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BC">
        <w:rPr>
          <w:rFonts w:ascii="Times New Roman" w:hAnsi="Times New Roman" w:cs="Times New Roman"/>
          <w:sz w:val="24"/>
          <w:szCs w:val="24"/>
        </w:rPr>
        <w:t>P - рыночная цена одной акции, руб.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Стоимость заемного капитала в форме банковского кредита можно опр</w:t>
      </w:r>
      <w:r w:rsidRPr="00192FBC">
        <w:rPr>
          <w:rFonts w:ascii="Times New Roman" w:hAnsi="Times New Roman" w:cs="Times New Roman"/>
          <w:sz w:val="24"/>
          <w:szCs w:val="24"/>
        </w:rPr>
        <w:t>е</w:t>
      </w:r>
      <w:r w:rsidRPr="00192FBC">
        <w:rPr>
          <w:rFonts w:ascii="Times New Roman" w:hAnsi="Times New Roman" w:cs="Times New Roman"/>
          <w:sz w:val="24"/>
          <w:szCs w:val="24"/>
        </w:rPr>
        <w:t>делить с помощью следующей модели: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1540" w:dyaOrig="620">
          <v:shape id="_x0000_i1034" type="#_x0000_t75" style="width:77.25pt;height:30.75pt" o:ole="">
            <v:imagedata r:id="rId21" o:title=""/>
          </v:shape>
          <o:OLEObject Type="Embed" ProgID="Equation.3" ShapeID="_x0000_i1034" DrawAspect="Content" ObjectID="_1538586501" r:id="rId22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 - ставка процента за банковский кредит, %;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Т - ставка налога на прибыль;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BC">
        <w:rPr>
          <w:rFonts w:ascii="Times New Roman" w:hAnsi="Times New Roman" w:cs="Times New Roman"/>
          <w:sz w:val="24"/>
          <w:szCs w:val="24"/>
        </w:rPr>
        <w:t>F - уровень расходов по привлечению банковского кредита к его сумме.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Для оценки общей стоимости капитала инвестиционного проекта используют средневзвешенную стоимость капитала, которая представляет собой сре</w:t>
      </w:r>
      <w:r w:rsidRPr="00192FBC">
        <w:rPr>
          <w:rFonts w:ascii="Times New Roman" w:hAnsi="Times New Roman" w:cs="Times New Roman"/>
          <w:sz w:val="24"/>
          <w:szCs w:val="24"/>
        </w:rPr>
        <w:t>д</w:t>
      </w:r>
      <w:r w:rsidRPr="00192FBC">
        <w:rPr>
          <w:rFonts w:ascii="Times New Roman" w:hAnsi="Times New Roman" w:cs="Times New Roman"/>
          <w:sz w:val="24"/>
          <w:szCs w:val="24"/>
        </w:rPr>
        <w:t xml:space="preserve">нее из стоимостей отдельных компонент, взвешенных по их доле в общей структуре капитала. 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Средневзвешенная стоимость капитала определяется по формуле:</w:t>
      </w:r>
    </w:p>
    <w:p w:rsidR="00192FBC" w:rsidRPr="00192FBC" w:rsidRDefault="00192FBC" w:rsidP="00192F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3080" w:dyaOrig="380">
          <v:shape id="_x0000_i1032" type="#_x0000_t75" style="width:153.75pt;height:18.75pt" o:ole="">
            <v:imagedata r:id="rId23" o:title=""/>
          </v:shape>
          <o:OLEObject Type="Embed" ProgID="Equation.3" ShapeID="_x0000_i1032" DrawAspect="Content" ObjectID="_1538586502" r:id="rId24"/>
        </w:object>
      </w:r>
    </w:p>
    <w:p w:rsidR="00192FBC" w:rsidRPr="00192FBC" w:rsidRDefault="00192FBC" w:rsidP="0019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Wd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Wp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 - соответственно доли заемных средств, привилегированных акций, собственного капитала (обыкновенных акций и нераспределенной пр</w:t>
      </w:r>
      <w:r w:rsidRPr="00192FBC">
        <w:rPr>
          <w:rFonts w:ascii="Times New Roman" w:hAnsi="Times New Roman" w:cs="Times New Roman"/>
          <w:sz w:val="24"/>
          <w:szCs w:val="24"/>
        </w:rPr>
        <w:t>и</w:t>
      </w:r>
      <w:r w:rsidRPr="00192FBC">
        <w:rPr>
          <w:rFonts w:ascii="Times New Roman" w:hAnsi="Times New Roman" w:cs="Times New Roman"/>
          <w:sz w:val="24"/>
          <w:szCs w:val="24"/>
        </w:rPr>
        <w:t>были);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FB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92FBC">
        <w:rPr>
          <w:rFonts w:ascii="Times New Roman" w:hAnsi="Times New Roman" w:cs="Times New Roman"/>
          <w:sz w:val="24"/>
          <w:szCs w:val="24"/>
        </w:rPr>
        <w:t xml:space="preserve"> - стоимости соответствующих частей капитала.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Если при определении цены заемного капитала не учитываются налог</w:t>
      </w:r>
      <w:r w:rsidRPr="00192FBC">
        <w:rPr>
          <w:rFonts w:ascii="Times New Roman" w:hAnsi="Times New Roman" w:cs="Times New Roman"/>
          <w:sz w:val="24"/>
          <w:szCs w:val="24"/>
        </w:rPr>
        <w:t>о</w:t>
      </w:r>
      <w:r w:rsidRPr="00192FBC">
        <w:rPr>
          <w:rFonts w:ascii="Times New Roman" w:hAnsi="Times New Roman" w:cs="Times New Roman"/>
          <w:sz w:val="24"/>
          <w:szCs w:val="24"/>
        </w:rPr>
        <w:t>вые эффекты, т.е. стоимость не корректируется на величину ставки налога на прибыль,  то при расчете средневзвешенной стоимости капитала предприятия необходимо провести эту корректировку по формуле:</w:t>
      </w:r>
    </w:p>
    <w:p w:rsidR="00192FBC" w:rsidRPr="00192FBC" w:rsidRDefault="00192FBC" w:rsidP="00192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object w:dxaOrig="3700" w:dyaOrig="380">
          <v:shape id="_x0000_i1033" type="#_x0000_t75" style="width:185.25pt;height:18.75pt" o:ole="">
            <v:imagedata r:id="rId25" o:title=""/>
          </v:shape>
          <o:OLEObject Type="Embed" ProgID="Equation.3" ShapeID="_x0000_i1033" DrawAspect="Content" ObjectID="_1538586503" r:id="rId26"/>
        </w:objec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Величина средневзвешенной цены капитала будет меняться при появл</w:t>
      </w:r>
      <w:r w:rsidRPr="00192FBC">
        <w:rPr>
          <w:rFonts w:ascii="Times New Roman" w:hAnsi="Times New Roman" w:cs="Times New Roman"/>
          <w:sz w:val="24"/>
          <w:szCs w:val="24"/>
        </w:rPr>
        <w:t>е</w:t>
      </w:r>
      <w:r w:rsidRPr="00192FBC">
        <w:rPr>
          <w:rFonts w:ascii="Times New Roman" w:hAnsi="Times New Roman" w:cs="Times New Roman"/>
          <w:sz w:val="24"/>
          <w:szCs w:val="24"/>
        </w:rPr>
        <w:t>нии новых источников финансирования инвестиционных проектов.</w:t>
      </w:r>
    </w:p>
    <w:p w:rsidR="00192FBC" w:rsidRPr="00192FBC" w:rsidRDefault="00192FBC" w:rsidP="0019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Цена капитала играет большую роль при формировании бюджета капит</w:t>
      </w:r>
      <w:r w:rsidRPr="00192FBC">
        <w:rPr>
          <w:rFonts w:ascii="Times New Roman" w:hAnsi="Times New Roman" w:cs="Times New Roman"/>
          <w:sz w:val="24"/>
          <w:szCs w:val="24"/>
        </w:rPr>
        <w:t>а</w:t>
      </w:r>
      <w:r w:rsidRPr="00192FBC">
        <w:rPr>
          <w:rFonts w:ascii="Times New Roman" w:hAnsi="Times New Roman" w:cs="Times New Roman"/>
          <w:sz w:val="24"/>
          <w:szCs w:val="24"/>
        </w:rPr>
        <w:t>ловложений и принятия решений по инвестиционным проектам. Так, если у предприятия имеется несколько независимых или альтернативных проектов, из которых необходимо сформировать инвестиционный портфель, то отбираются к реализации те проекты, у которых внутренняя норма доходности больше, чем средневзвешенная цена капитала (или цена капитала), т.е. соблюдается условие:</w:t>
      </w:r>
    </w:p>
    <w:p w:rsidR="00192FBC" w:rsidRPr="00192FBC" w:rsidRDefault="00192FBC" w:rsidP="00192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FBC">
        <w:rPr>
          <w:rFonts w:ascii="Times New Roman" w:hAnsi="Times New Roman" w:cs="Times New Roman"/>
          <w:sz w:val="24"/>
          <w:szCs w:val="24"/>
        </w:rPr>
        <w:t>IRR&gt;WACC или IRR&gt;I</w:t>
      </w:r>
    </w:p>
    <w:p w:rsidR="00192FBC" w:rsidRPr="00FC1441" w:rsidRDefault="00192FBC" w:rsidP="00F07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92FBC" w:rsidRPr="00FC1441" w:rsidSect="00FF22E0">
      <w:footerReference w:type="default" r:id="rId2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D1" w:rsidRDefault="001A3BD1" w:rsidP="00AF704D">
      <w:pPr>
        <w:spacing w:after="0" w:line="240" w:lineRule="auto"/>
      </w:pPr>
      <w:r>
        <w:separator/>
      </w:r>
    </w:p>
  </w:endnote>
  <w:endnote w:type="continuationSeparator" w:id="0">
    <w:p w:rsidR="001A3BD1" w:rsidRDefault="001A3BD1" w:rsidP="00AF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0876"/>
      <w:docPartObj>
        <w:docPartGallery w:val="Page Numbers (Bottom of Page)"/>
        <w:docPartUnique/>
      </w:docPartObj>
    </w:sdtPr>
    <w:sdtContent>
      <w:p w:rsidR="00AF704D" w:rsidRDefault="000764F4">
        <w:pPr>
          <w:pStyle w:val="a9"/>
          <w:jc w:val="center"/>
        </w:pPr>
        <w:fldSimple w:instr=" PAGE   \* MERGEFORMAT ">
          <w:r w:rsidR="001F1774">
            <w:rPr>
              <w:noProof/>
            </w:rPr>
            <w:t>1</w:t>
          </w:r>
        </w:fldSimple>
      </w:p>
    </w:sdtContent>
  </w:sdt>
  <w:p w:rsidR="00AF704D" w:rsidRDefault="00AF70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D1" w:rsidRDefault="001A3BD1" w:rsidP="00AF704D">
      <w:pPr>
        <w:spacing w:after="0" w:line="240" w:lineRule="auto"/>
      </w:pPr>
      <w:r>
        <w:separator/>
      </w:r>
    </w:p>
  </w:footnote>
  <w:footnote w:type="continuationSeparator" w:id="0">
    <w:p w:rsidR="001A3BD1" w:rsidRDefault="001A3BD1" w:rsidP="00AF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BE2"/>
    <w:multiLevelType w:val="hybridMultilevel"/>
    <w:tmpl w:val="040ECEEA"/>
    <w:lvl w:ilvl="0" w:tplc="2D767A5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DEC3CE5"/>
    <w:multiLevelType w:val="hybridMultilevel"/>
    <w:tmpl w:val="9D2655E8"/>
    <w:lvl w:ilvl="0" w:tplc="2974B56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6E51068"/>
    <w:multiLevelType w:val="hybridMultilevel"/>
    <w:tmpl w:val="6FB6065E"/>
    <w:lvl w:ilvl="0" w:tplc="EE280C4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21451F6A"/>
    <w:multiLevelType w:val="hybridMultilevel"/>
    <w:tmpl w:val="A072B6AC"/>
    <w:lvl w:ilvl="0" w:tplc="C308AA1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21D92BA5"/>
    <w:multiLevelType w:val="hybridMultilevel"/>
    <w:tmpl w:val="839686AC"/>
    <w:lvl w:ilvl="0" w:tplc="2974B56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3C20698E"/>
    <w:multiLevelType w:val="hybridMultilevel"/>
    <w:tmpl w:val="18A6EA2C"/>
    <w:lvl w:ilvl="0" w:tplc="E00A5E2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47C3561F"/>
    <w:multiLevelType w:val="hybridMultilevel"/>
    <w:tmpl w:val="BEE6FEFE"/>
    <w:lvl w:ilvl="0" w:tplc="9526528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4D685916"/>
    <w:multiLevelType w:val="hybridMultilevel"/>
    <w:tmpl w:val="1F3817BA"/>
    <w:lvl w:ilvl="0" w:tplc="A7A4BDA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B9CB0CC">
      <w:numFmt w:val="none"/>
      <w:lvlText w:val=""/>
      <w:lvlJc w:val="left"/>
      <w:pPr>
        <w:tabs>
          <w:tab w:val="num" w:pos="360"/>
        </w:tabs>
      </w:pPr>
    </w:lvl>
    <w:lvl w:ilvl="2" w:tplc="2CF0644C">
      <w:numFmt w:val="none"/>
      <w:lvlText w:val=""/>
      <w:lvlJc w:val="left"/>
      <w:pPr>
        <w:tabs>
          <w:tab w:val="num" w:pos="360"/>
        </w:tabs>
      </w:pPr>
    </w:lvl>
    <w:lvl w:ilvl="3" w:tplc="2C308B06">
      <w:numFmt w:val="none"/>
      <w:lvlText w:val=""/>
      <w:lvlJc w:val="left"/>
      <w:pPr>
        <w:tabs>
          <w:tab w:val="num" w:pos="360"/>
        </w:tabs>
      </w:pPr>
    </w:lvl>
    <w:lvl w:ilvl="4" w:tplc="002AB43A">
      <w:numFmt w:val="none"/>
      <w:lvlText w:val=""/>
      <w:lvlJc w:val="left"/>
      <w:pPr>
        <w:tabs>
          <w:tab w:val="num" w:pos="360"/>
        </w:tabs>
      </w:pPr>
    </w:lvl>
    <w:lvl w:ilvl="5" w:tplc="89C4CD50">
      <w:numFmt w:val="none"/>
      <w:lvlText w:val=""/>
      <w:lvlJc w:val="left"/>
      <w:pPr>
        <w:tabs>
          <w:tab w:val="num" w:pos="360"/>
        </w:tabs>
      </w:pPr>
    </w:lvl>
    <w:lvl w:ilvl="6" w:tplc="0E52AB30">
      <w:numFmt w:val="none"/>
      <w:lvlText w:val=""/>
      <w:lvlJc w:val="left"/>
      <w:pPr>
        <w:tabs>
          <w:tab w:val="num" w:pos="360"/>
        </w:tabs>
      </w:pPr>
    </w:lvl>
    <w:lvl w:ilvl="7" w:tplc="018E16B4">
      <w:numFmt w:val="none"/>
      <w:lvlText w:val=""/>
      <w:lvlJc w:val="left"/>
      <w:pPr>
        <w:tabs>
          <w:tab w:val="num" w:pos="360"/>
        </w:tabs>
      </w:pPr>
    </w:lvl>
    <w:lvl w:ilvl="8" w:tplc="49884D4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CFD2FA8"/>
    <w:multiLevelType w:val="multilevel"/>
    <w:tmpl w:val="54A239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pacing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F6956CD"/>
    <w:multiLevelType w:val="hybridMultilevel"/>
    <w:tmpl w:val="9B768F06"/>
    <w:lvl w:ilvl="0" w:tplc="4C141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F43AC6"/>
    <w:multiLevelType w:val="hybridMultilevel"/>
    <w:tmpl w:val="11927AF4"/>
    <w:lvl w:ilvl="0" w:tplc="A030F94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23F4"/>
    <w:rsid w:val="0003767A"/>
    <w:rsid w:val="00052819"/>
    <w:rsid w:val="000764F4"/>
    <w:rsid w:val="000B4D32"/>
    <w:rsid w:val="000E2FFD"/>
    <w:rsid w:val="0017656A"/>
    <w:rsid w:val="00192FBC"/>
    <w:rsid w:val="001A3BD1"/>
    <w:rsid w:val="001D4722"/>
    <w:rsid w:val="001F1774"/>
    <w:rsid w:val="002E64A6"/>
    <w:rsid w:val="00320FCE"/>
    <w:rsid w:val="003D2BE4"/>
    <w:rsid w:val="004157B9"/>
    <w:rsid w:val="004847C6"/>
    <w:rsid w:val="00544289"/>
    <w:rsid w:val="005D078C"/>
    <w:rsid w:val="00653521"/>
    <w:rsid w:val="00681CEC"/>
    <w:rsid w:val="006B4396"/>
    <w:rsid w:val="006D6737"/>
    <w:rsid w:val="006D6EE2"/>
    <w:rsid w:val="0075208B"/>
    <w:rsid w:val="00931C9C"/>
    <w:rsid w:val="00A270DC"/>
    <w:rsid w:val="00AF704D"/>
    <w:rsid w:val="00B319DD"/>
    <w:rsid w:val="00B547F4"/>
    <w:rsid w:val="00BD799E"/>
    <w:rsid w:val="00C97979"/>
    <w:rsid w:val="00CD5A33"/>
    <w:rsid w:val="00D14440"/>
    <w:rsid w:val="00D3145D"/>
    <w:rsid w:val="00D321C6"/>
    <w:rsid w:val="00D83931"/>
    <w:rsid w:val="00D907E3"/>
    <w:rsid w:val="00E136FC"/>
    <w:rsid w:val="00E20383"/>
    <w:rsid w:val="00EA23F4"/>
    <w:rsid w:val="00EE3156"/>
    <w:rsid w:val="00F07192"/>
    <w:rsid w:val="00F33F69"/>
    <w:rsid w:val="00FB5C22"/>
    <w:rsid w:val="00FC1441"/>
    <w:rsid w:val="00FF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9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79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F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704D"/>
  </w:style>
  <w:style w:type="paragraph" w:styleId="a9">
    <w:name w:val="footer"/>
    <w:basedOn w:val="a"/>
    <w:link w:val="aa"/>
    <w:uiPriority w:val="99"/>
    <w:unhideWhenUsed/>
    <w:rsid w:val="00AF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39</cp:revision>
  <dcterms:created xsi:type="dcterms:W3CDTF">2016-10-15T02:40:00Z</dcterms:created>
  <dcterms:modified xsi:type="dcterms:W3CDTF">2016-10-21T12:22:00Z</dcterms:modified>
</cp:coreProperties>
</file>