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aps/>
          <w:sz w:val="24"/>
        </w:rPr>
      </w:pPr>
      <w:r>
        <w:rPr>
          <w:rFonts w:eastAsia="Times New Roman" w:cs="Times New Roman" w:ascii="Times New Roman" w:hAnsi="Times New Roman"/>
          <w:caps/>
          <w:sz w:val="24"/>
        </w:rPr>
        <w:t>5. Оформление комплекта заданий для контрольной работы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Министерство образования и науки Российской Федерации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Филиал федерального государственного бюджетного образовательного учреждения</w:t>
        <w:br/>
        <w:t xml:space="preserve"> высшего образования</w:t>
        <w:br/>
        <w:t xml:space="preserve"> «Байкальский государственный университет» в г. Усть-Илимске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(Филиал ФГБОУ ВО «БГУ» в г. Усть-Илимске)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6"/>
        </w:rPr>
      </w:pPr>
      <w:r>
        <w:rPr>
          <w:rFonts w:eastAsia="Times New Roman" w:cs="Times New Roman" w:ascii="Times New Roman" w:hAnsi="Times New Roman"/>
          <w:b/>
          <w:sz w:val="36"/>
        </w:rPr>
        <w:t>Комплект заданий для контрольной работы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50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8"/>
          <w:u w:val="single"/>
        </w:rPr>
      </w:pPr>
      <w:r>
        <w:rPr>
          <w:rFonts w:eastAsia="Times New Roman" w:cs="Times New Roman" w:ascii="Times New Roman" w:hAnsi="Times New Roman"/>
          <w:sz w:val="28"/>
        </w:rPr>
        <w:t>по дисциплине</w:t>
      </w:r>
      <w:r>
        <w:rPr>
          <w:rFonts w:eastAsia="Times New Roman" w:cs="Times New Roman" w:ascii="Times New Roman" w:hAnsi="Times New Roman"/>
          <w:b/>
          <w:i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u w:val="single"/>
        </w:rPr>
        <w:t>Лесопарковое хозяйство</w:t>
      </w:r>
    </w:p>
    <w:p>
      <w:pPr>
        <w:pStyle w:val="Normal"/>
        <w:tabs>
          <w:tab w:val="clear" w:pos="708"/>
          <w:tab w:val="left" w:pos="50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u w:val="single"/>
          <w:vertAlign w:val="superscript"/>
        </w:rPr>
      </w:pPr>
      <w:r>
        <w:rPr>
          <w:rFonts w:eastAsia="Times New Roman" w:cs="Times New Roman" w:ascii="Times New Roman" w:hAnsi="Times New Roman"/>
          <w:sz w:val="28"/>
          <w:u w:val="single"/>
          <w:vertAlign w:val="superscript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Методическое пояснение к выполнению задания контрольной работы: 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студент создает проект лесопарка или обращается к уже существующему проекту лесопарка любого региона мира и России. 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Контрольная работа </w:t>
      </w:r>
      <w:r>
        <w:rPr>
          <w:rFonts w:eastAsia="Times New Roman" w:cs="Times New Roman" w:ascii="Times New Roman" w:hAnsi="Times New Roman"/>
          <w:b/>
          <w:sz w:val="24"/>
        </w:rPr>
        <w:t xml:space="preserve">содержит </w:t>
      </w:r>
      <w:r>
        <w:rPr>
          <w:rFonts w:eastAsia="Times New Roman" w:cs="Times New Roman" w:ascii="Times New Roman" w:hAnsi="Times New Roman"/>
          <w:sz w:val="24"/>
        </w:rPr>
        <w:t xml:space="preserve">следующие </w:t>
      </w:r>
      <w:r>
        <w:rPr>
          <w:rFonts w:eastAsia="Times New Roman" w:cs="Times New Roman" w:ascii="Times New Roman" w:hAnsi="Times New Roman"/>
          <w:b/>
          <w:sz w:val="24"/>
        </w:rPr>
        <w:t>задания :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1. Название лесопарка.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2. Регион нахождения.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3. Функциональное зонирование территории лесопарка.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4. Генеральный план лесопарка.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Для успешного выполнения контрольной работы необходимо изучить теоретические </w:t>
      </w:r>
      <w:r>
        <w:rPr>
          <w:rFonts w:eastAsia="Times New Roman" w:cs="Times New Roman" w:ascii="Times New Roman" w:hAnsi="Times New Roman"/>
          <w:b/>
          <w:sz w:val="24"/>
        </w:rPr>
        <w:t>(экзаменационные) вопросы</w:t>
      </w:r>
      <w:r>
        <w:rPr>
          <w:rFonts w:eastAsia="Times New Roman" w:cs="Times New Roman" w:ascii="Times New Roman" w:hAnsi="Times New Roman"/>
          <w:sz w:val="24"/>
        </w:rPr>
        <w:t>: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1) история развития лесопаркового хозяйства  (Агальцова В.А., Основы лесопаркового хозяйства : учебник. - М. : ГОУ ВПО МГУЛ, 2008. - 213 с.), см. стр. 11-20;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2) организация территорий рекреационных объектов(Агальцова В.А., Основы лесопаркового хозяйства : учебник. - М. : ГОУ ВПО МГУЛ, 2008. - 213 с.), см. стр. 55-56;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3) Изыскательские работы при парколесоустройстве (Агальцова В.А., Основы лесопаркового хозяйства : учебник. - М. : ГОУ ВПО МГУЛ, 2008. - 213 с.), см. стр. 57-60;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4) инвентаризационные работы на территории рекреационных объектов (Агальцова В.А., Основы лесопаркового хозяйства : учебник. - М. : ГОУ ВПО МГУЛ, 2008. - 213 с.), см. стр. 61-82;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5) ландшафтный анализ территории (Агальцова В.А., Основы лесопаркового хозяйства : учебник. - М. : ГОУ ВПО МГУЛ, 2008. - 213 с.), см. стр. 82-91;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6) Ландшафтное искусство и ландшафтная архитектура при проектировании рекреационных объектов (Агальцова В.А., Основы лесопаркового хозяйства : учебник. - М. : ГОУ ВПО МГУЛ, 2008. - 213 с.), см. стр. 107-109;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7) средства и правила композиции (Агальцова В.А., Основы лесопаркового хозяйства : учебник. - М. : ГОУ ВПО МГУЛ, 2008. - 213 с.), см. стр. 109-114;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8) композиционно-планировочная и объемно-пространственная структура объекта (Агальцова В.А., Основы лесопаркового хозяйства : учебник. - М. : ГОУ ВПО МГУЛ, 2008. - 213 с.), см. стр. 115-118;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9) организация композиционных центров, открытых пространств и создание пейзажных картин (Агальцова В.А., Основы лесопаркового хозяйства : учебник. - М. : ГОУ ВПО МГУЛ, 2008. - 213 с.), см. стр. 119-125;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10) содержание задания на проектирование (Агальцова В.А., Основы лесопаркового хозяйства : учебник. - М. : ГОУ ВПО МГУЛ, 2008. - 213 с.), см. стр. 129-131;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11) функциональное зонирование объектов рекреационного лесопользования (Агальцова В.А., Основы лесопаркового хозяйства : учебник. - М. : ГОУ ВПО МГУЛ, 2008. - 213 с.), см. стр. 133-136, рис. 19 на стр. 137;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12) генеральный план развития объекта лесной рекреации (Агальцова В.А., Основы лесопаркового хозяйства : учебник. - М. : ГОУ ВПО МГУЛ, 2008. - 213 с.), см. стр. 136-142, рис. 20 на стр. 139;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13) комплекс работ по созданию рекреационных объектов (Агальцова В.А., Основы лесопаркового хозяйства : учебник. - М. : ГОУ ВПО МГУЛ, 2008. - 213 с.), см. стр. 146-161;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14) лесокультурные и посадочные работы (Агальцова В.А., Основы лесопаркового хозяйства : учебник. - М. : ГОУ ВПО МГУЛ, 2008. - 213 с.), см. стр. 162-166;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15) устройство лугов, полян, газонов, цветников (Агальцова В.А., Основы лесопаркового хозяйства : учебник. - М. : ГОУ ВПО МГУЛ, 2008. - 213 с.), см. стр. 167-168;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16) малые архитектурные формы (Агальцова В.А., Основы лесопаркового хозяйства : учебник. - М. : ГОУ ВПО МГУЛ, 2008. - 213 с.), см. стр. 168-169;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17) формирование типов пространственной структуры (Агальцова В.А., Основы лесопаркового хозяйства : учебник. - М. : ГОУ ВПО МГУЛ, 2008. - 213 с.), см. стр. 174-176;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18) санитарно-оздоровительные мероприятия (Агальцова В.А., Основы лесопаркового хозяйства : учебник. - М. : ГОУ ВПО МГУЛ, 2008. - 213 с.), см. стр. 180-182;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19) лесохозяйственные мероприятия (Агальцова В.А., Основы лесопаркового хозяйства : учебник. - М. : ГОУ ВПО МГУЛ, 2008. - 213 с.), см. стр. 183-189;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20) уход за элементами благоустройства территории (Агальцова В.А., Основы лесопаркового хозяйства : учебник. - М. : ГОУ ВПО МГУЛ, 2008. - 213 с.), см. стр. 189-190;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21) лесопарковое хозяйство в условиях рыночных отношений (Агальцова В.А., Основы лесопаркового хозяйства : учебник. - М. : ГОУ ВПО МГУЛ, 2008. - 213 с.), см. стр. 193-197.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tabs>
          <w:tab w:val="clear" w:pos="708"/>
          <w:tab w:val="left" w:pos="22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LibreOffice/7.0.4.1$Windows_X86_64 LibreOffice_project/e3cebc55238632eae061a3da668963d484a71147</Application>
  <AppVersion>15.0000</AppVersion>
  <Pages>2</Pages>
  <Words>647</Words>
  <Characters>3745</Characters>
  <CharactersWithSpaces>4366</CharactersWithSpaces>
  <Paragraphs>38</Paragraphs>
  <Company>fbguep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2020-01-21T04:18:00Z</dcterms:created>
  <dc:creator/>
  <dc:description/>
  <dc:language>ru-RU</dc:language>
  <cp:lastModifiedBy/>
  <dcterms:modified xsi:type="dcterms:W3CDTF">2020-12-11T15:04:34Z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