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F5" w:rsidRDefault="001D0FF5" w:rsidP="001D0FF5">
      <w:pPr>
        <w:shd w:val="clear" w:color="auto" w:fill="FFFFFF"/>
        <w:spacing w:before="384"/>
        <w:ind w:firstLine="709"/>
        <w:jc w:val="both"/>
        <w:outlineLvl w:val="0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Контрольная работа включает в себя ответы на 6 вопросов. Номер вопроса выбирается по последней цифре зачетки (например, для первого варианта – 1, 11, 21, 31, 41, 51).</w:t>
      </w:r>
      <w:r w:rsidR="005F2640">
        <w:rPr>
          <w:b/>
          <w:bCs/>
          <w:color w:val="000000"/>
          <w:spacing w:val="-1"/>
          <w:sz w:val="28"/>
          <w:szCs w:val="28"/>
        </w:rPr>
        <w:t xml:space="preserve"> Ответы должны быть лаконичными и актуальными. Объем контрольной работы 15-20 листов.</w:t>
      </w:r>
    </w:p>
    <w:p w:rsidR="001D0FF5" w:rsidRDefault="001D0FF5" w:rsidP="001D0FF5">
      <w:pPr>
        <w:shd w:val="clear" w:color="auto" w:fill="FFFFFF"/>
        <w:spacing w:before="384"/>
        <w:jc w:val="center"/>
        <w:outlineLvl w:val="0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Вопросы для написания контрольной работы</w:t>
      </w:r>
    </w:p>
    <w:p w:rsidR="001D0FF5" w:rsidRDefault="001D0FF5" w:rsidP="001D0FF5">
      <w:pPr>
        <w:jc w:val="both"/>
        <w:rPr>
          <w:sz w:val="28"/>
        </w:rPr>
      </w:pP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1.Основные этапы развития международной экономической интеграции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2.Североамериканская ассоциация свободной торговли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3.Сотрудничество в Азиатско-Тихоокеанском регионе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4.Развитие интеграционных процессов в Европе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5.Свободные экономические зоны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6.Международное разделение труда: понятие, тенденции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7.Виды и формы международных экономических отношений на современном эт</w:t>
      </w:r>
      <w:r>
        <w:rPr>
          <w:sz w:val="28"/>
        </w:rPr>
        <w:t>а</w:t>
      </w:r>
      <w:r>
        <w:rPr>
          <w:sz w:val="28"/>
        </w:rPr>
        <w:t>пе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8.Мировая торговля и ее основные показатели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9.Лизинг во внешнеэкономических связях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10.Встречная торговля: виды, основные характеристики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11.Международная торговля научно-техническими достижениями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12.Торгово-посреднические операции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13.Международный обмен  технологиями и информацией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14.Национальный механизм регулирования ВЭД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15.Организация управления ВЭД  в России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16.Организация управления ВЭД на уровне предприятия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17.Методы государственного регулирования внешнеторговой деятельности  в России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18.Основные формы нетарифного регулирования внешнеторговой деятельности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19.Квотирование и лицензирование-форма нетарифного регулирования ВТД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20.Форма размещения квот во внешнеторговых операциях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21.Сертификация ввозимой продукции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22.Органы управления ВЭД и их функции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23.Таможенные органы РФ: структура, функции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24.Тарифные методы регулирования ВЭД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25.Таможенные режимы: общая характеристика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26.Основные таможенные режимы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27.Экономические таможенные  режимы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28.Завершающие таможенные  режимы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29.Специальные таможенные режимы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30.Таможенная стоимость товара: понятие, назначение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31.Методы определения таможенной стоимости ввозимых товаров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32.Метод определения таможенной стоимости товара по цене сделки с ввозимым товаром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33.Метод определения таможенной стоимости вывозимых товаров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34.Таможенные платежи: состав, расчет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35.Таможенная пошлина: понятие, расчет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lastRenderedPageBreak/>
        <w:t>36.Налог на добавленную стоимость в составе таможенных платежей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37.Акциз - составная часть основных таможенных платежей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38.Таможенные льготы, преференции: виды, порядок применения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39.Таможенный тариф в  системе мер государственного регулирования ВЭД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40.Унификация таможенного тарифа в России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41.Основные термины и понятия, применяемые в таможенной практике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42.Особые виды пошлин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43.Таможенное оформление товара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44.Таможенный  кодекс РФ: основные положения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45.Страна происхождения товара: понятие, критерии определения, применение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46.Таможенный контроль: общие положения, порядок проведения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47.Декларирование товара: основные правила, документы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48.Основные принципы перемещения товаров и транспортных средств через т</w:t>
      </w:r>
      <w:r>
        <w:rPr>
          <w:sz w:val="28"/>
        </w:rPr>
        <w:t>а</w:t>
      </w:r>
      <w:r>
        <w:rPr>
          <w:sz w:val="28"/>
        </w:rPr>
        <w:t>моженную границу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49.Либерализация ВЭД: сущность,</w:t>
      </w:r>
      <w:r w:rsidRPr="001D0FF5">
        <w:rPr>
          <w:sz w:val="28"/>
        </w:rPr>
        <w:t xml:space="preserve"> </w:t>
      </w:r>
      <w:r>
        <w:rPr>
          <w:sz w:val="28"/>
        </w:rPr>
        <w:t>этапы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50.Информационное обеспечение ВЭД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51.Золотой (золотомонетный) стандарт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52.Бреттон-Вудская валютная система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53.Ямайская валютная система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54.Валютные курсы: понятие, методы котировки валют, кросс-курсы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55.Государственная внешнеторговая политика РФ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56.Международное регулирование мировой торговли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57.Россия  и ВТО: взаимодействие, проблемы вступления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58.Международные организации в мировой торговле</w:t>
      </w:r>
    </w:p>
    <w:p w:rsidR="001D0FF5" w:rsidRDefault="001D0FF5" w:rsidP="001D0FF5">
      <w:pPr>
        <w:jc w:val="both"/>
        <w:outlineLvl w:val="0"/>
        <w:rPr>
          <w:sz w:val="28"/>
        </w:rPr>
      </w:pPr>
      <w:r>
        <w:rPr>
          <w:sz w:val="28"/>
        </w:rPr>
        <w:t>59.Таможенное дело в России</w:t>
      </w:r>
    </w:p>
    <w:p w:rsidR="001D0FF5" w:rsidRDefault="001D0FF5" w:rsidP="001D0FF5">
      <w:pPr>
        <w:jc w:val="both"/>
        <w:rPr>
          <w:sz w:val="28"/>
        </w:rPr>
      </w:pPr>
      <w:r>
        <w:rPr>
          <w:sz w:val="28"/>
        </w:rPr>
        <w:t>60.Основные термины и понятия, применяемые в таможенном деле.</w:t>
      </w:r>
    </w:p>
    <w:p w:rsidR="001D0FF5" w:rsidRDefault="001D0FF5" w:rsidP="001D0FF5">
      <w:pPr>
        <w:shd w:val="clear" w:color="auto" w:fill="FFFFFF"/>
        <w:spacing w:before="283"/>
        <w:ind w:left="586"/>
        <w:jc w:val="both"/>
        <w:rPr>
          <w:b/>
          <w:bCs/>
          <w:color w:val="000000"/>
          <w:spacing w:val="-2"/>
          <w:sz w:val="28"/>
          <w:szCs w:val="28"/>
        </w:rPr>
      </w:pPr>
    </w:p>
    <w:p w:rsidR="00D376AA" w:rsidRDefault="00D376AA"/>
    <w:sectPr w:rsidR="00D376AA" w:rsidSect="001D0FF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0FF5"/>
    <w:rsid w:val="001D0FF5"/>
    <w:rsid w:val="00424882"/>
    <w:rsid w:val="005F2640"/>
    <w:rsid w:val="00A255EC"/>
    <w:rsid w:val="00C13192"/>
    <w:rsid w:val="00D3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D0FF5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D0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abduljabarova</dc:creator>
  <cp:keywords/>
  <dc:description/>
  <cp:lastModifiedBy>abduljabarova</cp:lastModifiedBy>
  <cp:revision>2</cp:revision>
  <dcterms:created xsi:type="dcterms:W3CDTF">2019-10-28T06:15:00Z</dcterms:created>
  <dcterms:modified xsi:type="dcterms:W3CDTF">2019-10-28T06:27:00Z</dcterms:modified>
</cp:coreProperties>
</file>