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31" w:rsidRPr="002A42B1" w:rsidRDefault="00624C31" w:rsidP="00CD55D0">
      <w:pPr>
        <w:ind w:left="340" w:firstLine="0"/>
        <w:rPr>
          <w:b/>
          <w:caps/>
          <w:sz w:val="24"/>
          <w:szCs w:val="24"/>
        </w:rPr>
      </w:pPr>
      <w:r w:rsidRPr="002A42B1">
        <w:rPr>
          <w:b/>
          <w:caps/>
          <w:sz w:val="24"/>
          <w:szCs w:val="24"/>
        </w:rPr>
        <w:t>Требования  к  оформлению  и  выполнению</w:t>
      </w:r>
    </w:p>
    <w:p w:rsidR="00624C31" w:rsidRPr="002A42B1" w:rsidRDefault="00624C31" w:rsidP="00CD55D0">
      <w:pPr>
        <w:ind w:left="340" w:firstLine="0"/>
        <w:rPr>
          <w:b/>
          <w:sz w:val="24"/>
          <w:szCs w:val="24"/>
        </w:rPr>
      </w:pPr>
      <w:r w:rsidRPr="002A42B1">
        <w:rPr>
          <w:b/>
          <w:caps/>
          <w:sz w:val="24"/>
          <w:szCs w:val="24"/>
        </w:rPr>
        <w:t>контрольной  работы</w:t>
      </w:r>
    </w:p>
    <w:p w:rsidR="00624C31" w:rsidRPr="002A42B1" w:rsidRDefault="00624C31" w:rsidP="00CD55D0">
      <w:pPr>
        <w:jc w:val="center"/>
        <w:rPr>
          <w:b/>
          <w:sz w:val="24"/>
          <w:szCs w:val="24"/>
        </w:rPr>
      </w:pPr>
    </w:p>
    <w:p w:rsidR="00624C31" w:rsidRPr="002A42B1" w:rsidRDefault="00624C31" w:rsidP="00CD55D0">
      <w:pPr>
        <w:rPr>
          <w:sz w:val="24"/>
          <w:szCs w:val="24"/>
        </w:rPr>
      </w:pPr>
      <w:r w:rsidRPr="002A42B1">
        <w:rPr>
          <w:sz w:val="24"/>
          <w:szCs w:val="24"/>
        </w:rPr>
        <w:t xml:space="preserve">Задание к контрольной работе содержит </w:t>
      </w:r>
      <w:r w:rsidRPr="00F80E3B">
        <w:rPr>
          <w:i/>
          <w:sz w:val="24"/>
          <w:szCs w:val="24"/>
        </w:rPr>
        <w:t>3</w:t>
      </w:r>
      <w:r w:rsidRPr="002A42B1">
        <w:rPr>
          <w:sz w:val="24"/>
          <w:szCs w:val="24"/>
        </w:rPr>
        <w:t xml:space="preserve"> теоретических вопроса по вариантам и </w:t>
      </w:r>
      <w:r w:rsidRPr="00F80E3B">
        <w:rPr>
          <w:i/>
          <w:sz w:val="24"/>
          <w:szCs w:val="24"/>
        </w:rPr>
        <w:t>6</w:t>
      </w:r>
      <w:r w:rsidRPr="002A42B1">
        <w:rPr>
          <w:sz w:val="24"/>
          <w:szCs w:val="24"/>
        </w:rPr>
        <w:t xml:space="preserve"> практических задач. </w:t>
      </w:r>
    </w:p>
    <w:p w:rsidR="00624C31" w:rsidRDefault="00624C31" w:rsidP="00CD55D0">
      <w:pPr>
        <w:rPr>
          <w:sz w:val="24"/>
          <w:szCs w:val="24"/>
        </w:rPr>
      </w:pPr>
      <w:r w:rsidRPr="002A42B1">
        <w:rPr>
          <w:sz w:val="24"/>
          <w:szCs w:val="24"/>
        </w:rPr>
        <w:t>Вариант контрольной работы определяется по номеру зачетной книжки и соответствует последней цифре. Если последней цифрой является ноль, то это соответствует десятому варианту.</w:t>
      </w:r>
    </w:p>
    <w:p w:rsidR="00624C31" w:rsidRPr="002A42B1" w:rsidRDefault="00624C31" w:rsidP="0065227D">
      <w:pPr>
        <w:rPr>
          <w:sz w:val="24"/>
          <w:szCs w:val="24"/>
        </w:rPr>
      </w:pPr>
      <w:r w:rsidRPr="002A42B1">
        <w:rPr>
          <w:sz w:val="24"/>
          <w:szCs w:val="24"/>
        </w:rPr>
        <w:t>Ответ на теоретический вопрос должен полностью раскрывать содержание необходимых явлений и процессов.</w:t>
      </w:r>
    </w:p>
    <w:p w:rsidR="00624C31" w:rsidRPr="002A42B1" w:rsidRDefault="00624C31" w:rsidP="0065227D">
      <w:pPr>
        <w:rPr>
          <w:sz w:val="24"/>
          <w:szCs w:val="24"/>
        </w:rPr>
      </w:pPr>
      <w:r w:rsidRPr="002A42B1">
        <w:rPr>
          <w:sz w:val="24"/>
          <w:szCs w:val="24"/>
        </w:rPr>
        <w:t xml:space="preserve">Ответ на практическое задание должен содержать условие задачи, пошаговое решение задачи, ответ со всеми необходимыми пояснениями. </w:t>
      </w:r>
    </w:p>
    <w:p w:rsidR="00624C31" w:rsidRDefault="00624C31" w:rsidP="002A42B1">
      <w:pPr>
        <w:rPr>
          <w:b/>
          <w:i/>
          <w:sz w:val="24"/>
          <w:szCs w:val="24"/>
        </w:rPr>
      </w:pPr>
    </w:p>
    <w:p w:rsidR="00624C31" w:rsidRPr="0065227D" w:rsidRDefault="00624C31" w:rsidP="002A42B1">
      <w:pPr>
        <w:rPr>
          <w:b/>
          <w:i/>
          <w:sz w:val="28"/>
          <w:szCs w:val="28"/>
        </w:rPr>
      </w:pPr>
      <w:r w:rsidRPr="0065227D">
        <w:rPr>
          <w:b/>
          <w:i/>
          <w:sz w:val="28"/>
          <w:szCs w:val="28"/>
        </w:rPr>
        <w:t>Теоретическое задание №1</w:t>
      </w:r>
    </w:p>
    <w:p w:rsidR="00624C31" w:rsidRPr="002A42B1" w:rsidRDefault="00624C31" w:rsidP="00CD55D0">
      <w:pPr>
        <w:keepNext/>
        <w:rPr>
          <w:sz w:val="24"/>
          <w:szCs w:val="24"/>
        </w:rPr>
      </w:pPr>
    </w:p>
    <w:p w:rsidR="00624C31" w:rsidRPr="002A42B1" w:rsidRDefault="00624C31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1</w:t>
      </w:r>
    </w:p>
    <w:p w:rsidR="00624C31" w:rsidRPr="002A42B1" w:rsidRDefault="00624C31" w:rsidP="008235C1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Понятие, классификация и оценка основных средств.</w:t>
      </w:r>
    </w:p>
    <w:p w:rsidR="00624C31" w:rsidRPr="002A42B1" w:rsidRDefault="00624C31" w:rsidP="008235C1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 xml:space="preserve"> Документальное оформление движения основных средств.</w:t>
      </w:r>
    </w:p>
    <w:p w:rsidR="00624C31" w:rsidRPr="002A42B1" w:rsidRDefault="00624C31" w:rsidP="008235C1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 xml:space="preserve"> Способы начисления и учет амортизации основных средств.</w:t>
      </w:r>
    </w:p>
    <w:p w:rsidR="00624C31" w:rsidRPr="002A42B1" w:rsidRDefault="00624C31" w:rsidP="00085286">
      <w:pPr>
        <w:ind w:firstLine="708"/>
        <w:rPr>
          <w:b/>
          <w:sz w:val="24"/>
          <w:szCs w:val="24"/>
        </w:rPr>
      </w:pPr>
    </w:p>
    <w:p w:rsidR="00624C31" w:rsidRPr="002A42B1" w:rsidRDefault="00624C31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2</w:t>
      </w:r>
    </w:p>
    <w:p w:rsidR="00624C31" w:rsidRPr="002A42B1" w:rsidRDefault="00624C31" w:rsidP="008235C1">
      <w:pPr>
        <w:ind w:left="708" w:firstLine="0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1. Понятие, состав и оценка нематериальных активов.</w:t>
      </w:r>
      <w:r w:rsidRPr="002A42B1">
        <w:rPr>
          <w:sz w:val="24"/>
          <w:szCs w:val="24"/>
        </w:rPr>
        <w:br/>
        <w:t>2. Учет поступления и выбытия нематериальных активов.</w:t>
      </w:r>
      <w:r w:rsidRPr="002A42B1">
        <w:rPr>
          <w:sz w:val="24"/>
          <w:szCs w:val="24"/>
        </w:rPr>
        <w:br/>
        <w:t>3. Порядок начисления и учета амортизации нематериальных активов </w:t>
      </w:r>
    </w:p>
    <w:p w:rsidR="00624C31" w:rsidRPr="002A42B1" w:rsidRDefault="00624C31" w:rsidP="008235C1">
      <w:pPr>
        <w:ind w:firstLine="708"/>
        <w:jc w:val="left"/>
        <w:rPr>
          <w:b/>
          <w:sz w:val="24"/>
          <w:szCs w:val="24"/>
        </w:rPr>
      </w:pPr>
    </w:p>
    <w:p w:rsidR="00624C31" w:rsidRPr="002A42B1" w:rsidRDefault="00624C31" w:rsidP="00F675B3">
      <w:pPr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 xml:space="preserve"> </w:t>
      </w:r>
      <w:r w:rsidRPr="002A42B1">
        <w:rPr>
          <w:b/>
          <w:sz w:val="24"/>
          <w:szCs w:val="24"/>
        </w:rPr>
        <w:tab/>
        <w:t>Вариант 3</w:t>
      </w:r>
    </w:p>
    <w:p w:rsidR="00624C31" w:rsidRPr="002A42B1" w:rsidRDefault="00624C31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Роль бухгалтерских документов в хозяйственном процессе.</w:t>
      </w:r>
    </w:p>
    <w:p w:rsidR="00624C31" w:rsidRPr="002A42B1" w:rsidRDefault="00624C31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Классификация документов.</w:t>
      </w:r>
    </w:p>
    <w:p w:rsidR="00624C31" w:rsidRPr="002A42B1" w:rsidRDefault="00624C31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3. Требования, предъявляемые к бухгалтерским документам.</w:t>
      </w:r>
    </w:p>
    <w:p w:rsidR="00624C31" w:rsidRPr="002A42B1" w:rsidRDefault="00624C31" w:rsidP="00E13AAF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624C31" w:rsidRPr="002A42B1" w:rsidRDefault="00624C31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4</w:t>
      </w:r>
    </w:p>
    <w:p w:rsidR="00624C31" w:rsidRPr="002A42B1" w:rsidRDefault="00624C31" w:rsidP="0093512C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Экономический смысл счетов.</w:t>
      </w:r>
    </w:p>
    <w:p w:rsidR="00624C31" w:rsidRPr="002A42B1" w:rsidRDefault="00624C31" w:rsidP="0093512C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Что такое счет, двойная запись, бухгалтерская обработка?</w:t>
      </w:r>
    </w:p>
    <w:p w:rsidR="00624C31" w:rsidRPr="002A42B1" w:rsidRDefault="00624C31" w:rsidP="0093512C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3. Классификация бухгалтерских счетов.</w:t>
      </w:r>
    </w:p>
    <w:p w:rsidR="00624C31" w:rsidRPr="002A42B1" w:rsidRDefault="00624C31" w:rsidP="0093512C">
      <w:pPr>
        <w:rPr>
          <w:b/>
          <w:sz w:val="24"/>
          <w:szCs w:val="24"/>
        </w:rPr>
      </w:pPr>
    </w:p>
    <w:p w:rsidR="00624C31" w:rsidRPr="002A42B1" w:rsidRDefault="00624C31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5</w:t>
      </w:r>
    </w:p>
    <w:p w:rsidR="00624C31" w:rsidRPr="002A42B1" w:rsidRDefault="00624C31" w:rsidP="008235C1">
      <w:pPr>
        <w:ind w:firstLine="708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1.Учет денежных средств.</w:t>
      </w:r>
    </w:p>
    <w:p w:rsidR="00624C31" w:rsidRPr="002A42B1" w:rsidRDefault="00624C31" w:rsidP="008235C1">
      <w:pPr>
        <w:ind w:left="708" w:firstLine="0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2. Бухгалтерский учет кассовых операций.</w:t>
      </w:r>
      <w:r w:rsidRPr="002A42B1">
        <w:rPr>
          <w:sz w:val="24"/>
          <w:szCs w:val="24"/>
        </w:rPr>
        <w:br/>
        <w:t>3. Бухгалтерский учет средств на расчетном счете.</w:t>
      </w:r>
    </w:p>
    <w:p w:rsidR="00624C31" w:rsidRPr="002A42B1" w:rsidRDefault="00624C31" w:rsidP="002A42B1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 xml:space="preserve">. </w:t>
      </w:r>
    </w:p>
    <w:p w:rsidR="00624C31" w:rsidRPr="002A42B1" w:rsidRDefault="00624C31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6</w:t>
      </w:r>
    </w:p>
    <w:p w:rsidR="00624C31" w:rsidRPr="002A42B1" w:rsidRDefault="00624C31" w:rsidP="008235C1">
      <w:pPr>
        <w:pStyle w:val="ListParagraph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Материально-производственные запасы, их состав, принципы оценки.</w:t>
      </w:r>
    </w:p>
    <w:p w:rsidR="00624C31" w:rsidRPr="002A42B1" w:rsidRDefault="00624C31" w:rsidP="008235C1">
      <w:pPr>
        <w:pStyle w:val="ListParagraph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 xml:space="preserve"> Материалы, их классификация и виды оценок.</w:t>
      </w:r>
    </w:p>
    <w:p w:rsidR="00624C31" w:rsidRPr="002A42B1" w:rsidRDefault="00624C31" w:rsidP="008235C1">
      <w:pPr>
        <w:pStyle w:val="ListParagraph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Документальное оформление поступления и расходования материальных ценностей.</w:t>
      </w:r>
    </w:p>
    <w:p w:rsidR="00624C31" w:rsidRPr="002A42B1" w:rsidRDefault="00624C31" w:rsidP="00121BF6">
      <w:pPr>
        <w:rPr>
          <w:sz w:val="24"/>
          <w:szCs w:val="24"/>
        </w:rPr>
      </w:pPr>
    </w:p>
    <w:p w:rsidR="00624C31" w:rsidRPr="002A42B1" w:rsidRDefault="00624C31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7</w:t>
      </w:r>
    </w:p>
    <w:p w:rsidR="00624C31" w:rsidRPr="002A42B1" w:rsidRDefault="00624C31" w:rsidP="002A42B1">
      <w:pPr>
        <w:ind w:left="708" w:firstLine="0"/>
        <w:rPr>
          <w:sz w:val="24"/>
          <w:szCs w:val="24"/>
        </w:rPr>
      </w:pPr>
      <w:r w:rsidRPr="002A42B1">
        <w:rPr>
          <w:sz w:val="24"/>
          <w:szCs w:val="24"/>
        </w:rPr>
        <w:t>1. Понятие, общие правила и основные цели проведения бухгалтерской инвентаризации.</w:t>
      </w:r>
    </w:p>
    <w:p w:rsidR="00624C31" w:rsidRPr="002A42B1" w:rsidRDefault="00624C31" w:rsidP="007C7CA8">
      <w:pPr>
        <w:ind w:firstLine="720"/>
        <w:rPr>
          <w:sz w:val="24"/>
          <w:szCs w:val="24"/>
        </w:rPr>
      </w:pPr>
      <w:r w:rsidRPr="002A42B1">
        <w:rPr>
          <w:sz w:val="24"/>
          <w:szCs w:val="24"/>
        </w:rPr>
        <w:t>2. Виды бухгалтерской инвентаризации и сроки ее проведения.</w:t>
      </w:r>
    </w:p>
    <w:p w:rsidR="00624C31" w:rsidRPr="002A42B1" w:rsidRDefault="00624C31" w:rsidP="004C2116">
      <w:pPr>
        <w:ind w:left="708" w:firstLine="12"/>
        <w:rPr>
          <w:sz w:val="24"/>
          <w:szCs w:val="24"/>
        </w:rPr>
      </w:pPr>
      <w:r w:rsidRPr="002A42B1">
        <w:rPr>
          <w:sz w:val="24"/>
          <w:szCs w:val="24"/>
        </w:rPr>
        <w:t>3. Порядок проведения и оформления бухгалтерской инвентаризации имущества и обязательств на предприятии.</w:t>
      </w:r>
    </w:p>
    <w:p w:rsidR="00624C31" w:rsidRPr="002A42B1" w:rsidRDefault="00624C31" w:rsidP="002A42B1">
      <w:pPr>
        <w:ind w:firstLine="0"/>
        <w:rPr>
          <w:b/>
          <w:sz w:val="24"/>
          <w:szCs w:val="24"/>
        </w:rPr>
      </w:pPr>
    </w:p>
    <w:p w:rsidR="00624C31" w:rsidRDefault="00624C31" w:rsidP="006B5967">
      <w:pPr>
        <w:ind w:firstLine="708"/>
        <w:rPr>
          <w:b/>
          <w:sz w:val="24"/>
          <w:szCs w:val="24"/>
        </w:rPr>
      </w:pPr>
    </w:p>
    <w:p w:rsidR="00624C31" w:rsidRPr="002A42B1" w:rsidRDefault="00624C31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8.</w:t>
      </w:r>
    </w:p>
    <w:p w:rsidR="00624C31" w:rsidRPr="002A42B1" w:rsidRDefault="00624C31" w:rsidP="00912A4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>Понятие о бухгалтерском учёте, его роль и значение в системе управления.</w:t>
      </w:r>
    </w:p>
    <w:p w:rsidR="00624C31" w:rsidRPr="002A42B1" w:rsidRDefault="00624C31" w:rsidP="00912A4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 xml:space="preserve">Основные принципы бухгалтерского учета, допущения и требования. </w:t>
      </w:r>
    </w:p>
    <w:p w:rsidR="00624C31" w:rsidRPr="002A42B1" w:rsidRDefault="00624C31" w:rsidP="00912A4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 xml:space="preserve">Пользователи бухгалтерской информации. </w:t>
      </w:r>
    </w:p>
    <w:p w:rsidR="00624C31" w:rsidRPr="002A42B1" w:rsidRDefault="00624C31" w:rsidP="00912A49">
      <w:pPr>
        <w:ind w:firstLine="708"/>
        <w:rPr>
          <w:sz w:val="24"/>
          <w:szCs w:val="24"/>
        </w:rPr>
      </w:pPr>
    </w:p>
    <w:p w:rsidR="00624C31" w:rsidRPr="002A42B1" w:rsidRDefault="00624C31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9</w:t>
      </w:r>
    </w:p>
    <w:p w:rsidR="00624C31" w:rsidRPr="002A42B1" w:rsidRDefault="00624C31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 xml:space="preserve">1. Учет расчетов с поставщиками и подрядчиками. </w:t>
      </w:r>
    </w:p>
    <w:p w:rsidR="00624C31" w:rsidRPr="002A42B1" w:rsidRDefault="00624C31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 xml:space="preserve">2. Учет расчетов с покупателями и заказчиками. </w:t>
      </w:r>
    </w:p>
    <w:p w:rsidR="00624C31" w:rsidRPr="002A42B1" w:rsidRDefault="00624C31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 xml:space="preserve">3. Учет расчетов по краткосрочным и долгосрочным кредитам и займам. </w:t>
      </w:r>
    </w:p>
    <w:p w:rsidR="00624C31" w:rsidRPr="002A42B1" w:rsidRDefault="00624C31" w:rsidP="00121BF6">
      <w:pPr>
        <w:rPr>
          <w:sz w:val="24"/>
          <w:szCs w:val="24"/>
        </w:rPr>
      </w:pPr>
    </w:p>
    <w:p w:rsidR="00624C31" w:rsidRPr="002A42B1" w:rsidRDefault="00624C31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10</w:t>
      </w:r>
    </w:p>
    <w:p w:rsidR="00624C31" w:rsidRPr="002A42B1" w:rsidRDefault="00624C31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 Понятие, сущность, состав и предназначение бухгалтерской отчетности.</w:t>
      </w:r>
    </w:p>
    <w:p w:rsidR="00624C31" w:rsidRPr="002A42B1" w:rsidRDefault="00624C31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 Характеристика форм отчетности.</w:t>
      </w:r>
    </w:p>
    <w:p w:rsidR="00624C31" w:rsidRPr="002A42B1" w:rsidRDefault="00624C31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3. Этапы составления бухгалтерской отчетности</w:t>
      </w:r>
    </w:p>
    <w:p w:rsidR="00624C31" w:rsidRPr="002A42B1" w:rsidRDefault="00624C31" w:rsidP="00121BF6">
      <w:pPr>
        <w:rPr>
          <w:sz w:val="24"/>
          <w:szCs w:val="24"/>
        </w:rPr>
      </w:pPr>
    </w:p>
    <w:p w:rsidR="00624C31" w:rsidRPr="0065227D" w:rsidRDefault="00624C31" w:rsidP="00EC47A6">
      <w:pPr>
        <w:rPr>
          <w:b/>
          <w:i/>
          <w:sz w:val="28"/>
          <w:szCs w:val="28"/>
        </w:rPr>
      </w:pPr>
      <w:r w:rsidRPr="0065227D">
        <w:rPr>
          <w:b/>
          <w:i/>
          <w:sz w:val="28"/>
          <w:szCs w:val="28"/>
        </w:rPr>
        <w:t>Практическое задание №2</w:t>
      </w:r>
    </w:p>
    <w:p w:rsidR="00624C31" w:rsidRPr="002A42B1" w:rsidRDefault="00624C31" w:rsidP="00EC47A6">
      <w:pPr>
        <w:rPr>
          <w:b/>
          <w:i/>
          <w:sz w:val="24"/>
          <w:szCs w:val="24"/>
        </w:rPr>
      </w:pPr>
    </w:p>
    <w:p w:rsidR="00624C31" w:rsidRPr="002A42B1" w:rsidRDefault="00624C31" w:rsidP="00085286">
      <w:pPr>
        <w:ind w:firstLine="0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Задание №1 (для всех вариантов)</w:t>
      </w:r>
    </w:p>
    <w:p w:rsidR="00624C31" w:rsidRPr="002A42B1" w:rsidRDefault="00624C31" w:rsidP="005E3692">
      <w:pPr>
        <w:rPr>
          <w:b/>
          <w:sz w:val="24"/>
          <w:szCs w:val="24"/>
        </w:rPr>
      </w:pPr>
    </w:p>
    <w:p w:rsidR="00624C31" w:rsidRPr="002A42B1" w:rsidRDefault="00624C31" w:rsidP="005E3692">
      <w:pPr>
        <w:ind w:firstLine="0"/>
        <w:rPr>
          <w:sz w:val="24"/>
          <w:szCs w:val="24"/>
        </w:rPr>
      </w:pPr>
      <w:r w:rsidRPr="002A42B1">
        <w:rPr>
          <w:sz w:val="24"/>
          <w:szCs w:val="24"/>
        </w:rPr>
        <w:t>Заполнить таблицу (отобразить бухгалтерские проводки)</w:t>
      </w:r>
    </w:p>
    <w:p w:rsidR="00624C31" w:rsidRPr="002A42B1" w:rsidRDefault="00624C31" w:rsidP="005E3692">
      <w:pPr>
        <w:rPr>
          <w:sz w:val="24"/>
          <w:szCs w:val="24"/>
        </w:rPr>
      </w:pPr>
    </w:p>
    <w:tbl>
      <w:tblPr>
        <w:tblW w:w="8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0"/>
        <w:gridCol w:w="5876"/>
        <w:gridCol w:w="2194"/>
      </w:tblGrid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№ п/п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Проводка</w:t>
            </w: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С расчетного счета в банке получены наличные деньги и оприходованы в кассу предприятия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2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Из кассы выдана заработная плата работникам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3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От поставщика поступили материалы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4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С поставщиком материалов рассчитались полностью за счет краткосрочного кредита банка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5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Отражена сумма уставного капитала, предусмотренного Уставом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6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на расчетный счет предприятия уставный капитал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7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материалы в счет оплаты уставного капитала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8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основное средство в качества вклада в уставный капитал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624C31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9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C31" w:rsidRPr="002A42B1" w:rsidRDefault="00624C31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Выданы деньги из кассы подотчетному лицу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24C31" w:rsidRPr="002A42B1" w:rsidRDefault="00624C31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624C31" w:rsidRPr="002A42B1" w:rsidRDefault="00624C31" w:rsidP="005E3692">
      <w:pPr>
        <w:rPr>
          <w:sz w:val="24"/>
          <w:szCs w:val="24"/>
        </w:rPr>
      </w:pPr>
    </w:p>
    <w:p w:rsidR="00624C31" w:rsidRPr="002A42B1" w:rsidRDefault="00624C31" w:rsidP="005E3692">
      <w:pPr>
        <w:rPr>
          <w:sz w:val="24"/>
          <w:szCs w:val="24"/>
        </w:rPr>
      </w:pPr>
    </w:p>
    <w:p w:rsidR="00624C31" w:rsidRDefault="00624C31" w:rsidP="00085286">
      <w:pPr>
        <w:ind w:firstLine="0"/>
        <w:rPr>
          <w:b/>
          <w:sz w:val="24"/>
          <w:szCs w:val="24"/>
        </w:rPr>
      </w:pPr>
    </w:p>
    <w:p w:rsidR="00624C31" w:rsidRDefault="00624C31" w:rsidP="00085286">
      <w:pPr>
        <w:ind w:firstLine="0"/>
        <w:rPr>
          <w:b/>
          <w:sz w:val="24"/>
          <w:szCs w:val="24"/>
        </w:rPr>
      </w:pPr>
    </w:p>
    <w:p w:rsidR="00624C31" w:rsidRDefault="00624C31" w:rsidP="00085286">
      <w:pPr>
        <w:ind w:firstLine="0"/>
        <w:rPr>
          <w:b/>
          <w:sz w:val="24"/>
          <w:szCs w:val="24"/>
        </w:rPr>
      </w:pPr>
    </w:p>
    <w:p w:rsidR="00624C31" w:rsidRDefault="00624C31" w:rsidP="00085286">
      <w:pPr>
        <w:ind w:firstLine="0"/>
        <w:rPr>
          <w:b/>
          <w:sz w:val="24"/>
          <w:szCs w:val="24"/>
        </w:rPr>
      </w:pPr>
    </w:p>
    <w:p w:rsidR="00624C31" w:rsidRDefault="00624C31" w:rsidP="00085286">
      <w:pPr>
        <w:ind w:firstLine="0"/>
        <w:rPr>
          <w:b/>
          <w:sz w:val="24"/>
          <w:szCs w:val="24"/>
        </w:rPr>
      </w:pPr>
    </w:p>
    <w:p w:rsidR="00624C31" w:rsidRDefault="00624C31" w:rsidP="00085286">
      <w:pPr>
        <w:ind w:firstLine="0"/>
        <w:rPr>
          <w:b/>
          <w:sz w:val="24"/>
          <w:szCs w:val="24"/>
        </w:rPr>
      </w:pPr>
    </w:p>
    <w:p w:rsidR="00624C31" w:rsidRPr="002A42B1" w:rsidRDefault="00624C31" w:rsidP="00085286">
      <w:pPr>
        <w:ind w:firstLine="0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Задание №2 (для всех вариантов)</w:t>
      </w:r>
    </w:p>
    <w:p w:rsidR="00624C31" w:rsidRPr="002A42B1" w:rsidRDefault="00624C31" w:rsidP="005E3692">
      <w:pPr>
        <w:rPr>
          <w:sz w:val="24"/>
          <w:szCs w:val="24"/>
        </w:rPr>
      </w:pP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Описать бухгалтерские проводки (в таблице) в рамках совершенных хозяйственных операций: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62 – К 90.1 на сумму 45000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51 – К 62 на сумму 45000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90.2 – К 41.1 на сумму 45000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71 – К 50 на сумму 10000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44 – К 70 на сумму 82000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08 – К 60 на сумму 101694,92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19 – К 60 на сумму 18305,08 рублей</w:t>
      </w:r>
    </w:p>
    <w:p w:rsidR="00624C31" w:rsidRPr="002A42B1" w:rsidRDefault="00624C31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60 – К 51 на сумму 120000 рублей </w:t>
      </w:r>
    </w:p>
    <w:p w:rsidR="00624C31" w:rsidRPr="002A42B1" w:rsidRDefault="00624C31" w:rsidP="005E3692">
      <w:pPr>
        <w:rPr>
          <w:sz w:val="24"/>
          <w:szCs w:val="24"/>
        </w:rPr>
      </w:pPr>
    </w:p>
    <w:tbl>
      <w:tblPr>
        <w:tblW w:w="98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2135"/>
        <w:gridCol w:w="2118"/>
        <w:gridCol w:w="5588"/>
      </w:tblGrid>
      <w:tr w:rsidR="00624C31" w:rsidRPr="002A42B1" w:rsidTr="007A274A">
        <w:trPr>
          <w:trHeight w:val="756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Наименование операции</w:t>
            </w:r>
          </w:p>
        </w:tc>
      </w:tr>
      <w:tr w:rsidR="00624C31" w:rsidRPr="002A42B1" w:rsidTr="007A274A">
        <w:trPr>
          <w:trHeight w:val="543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62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90.1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756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51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62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756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90.2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41.1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756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71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50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756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44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70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418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08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60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632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19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60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624C31" w:rsidRPr="002A42B1" w:rsidTr="007A274A">
        <w:trPr>
          <w:trHeight w:val="390"/>
        </w:trPr>
        <w:tc>
          <w:tcPr>
            <w:tcW w:w="213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60</w:t>
            </w:r>
          </w:p>
        </w:tc>
        <w:tc>
          <w:tcPr>
            <w:tcW w:w="2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51</w:t>
            </w:r>
          </w:p>
        </w:tc>
        <w:tc>
          <w:tcPr>
            <w:tcW w:w="55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624C31" w:rsidRPr="002A42B1" w:rsidRDefault="00624C31" w:rsidP="0017568D">
            <w:pPr>
              <w:spacing w:after="240" w:line="384" w:lineRule="atLeast"/>
              <w:jc w:val="left"/>
              <w:rPr>
                <w:color w:val="444444"/>
                <w:sz w:val="24"/>
                <w:szCs w:val="24"/>
              </w:rPr>
            </w:pPr>
          </w:p>
        </w:tc>
      </w:tr>
    </w:tbl>
    <w:p w:rsidR="00624C31" w:rsidRPr="002A42B1" w:rsidRDefault="00624C31" w:rsidP="005E3692">
      <w:pPr>
        <w:pStyle w:val="NormalWeb"/>
        <w:shd w:val="clear" w:color="auto" w:fill="FFFFFF"/>
        <w:spacing w:before="0" w:beforeAutospacing="0" w:after="120" w:afterAutospacing="0" w:line="300" w:lineRule="atLeast"/>
        <w:ind w:left="600"/>
        <w:rPr>
          <w:rStyle w:val="Strong"/>
          <w:color w:val="000000"/>
        </w:rPr>
      </w:pPr>
    </w:p>
    <w:p w:rsidR="00624C31" w:rsidRDefault="00624C31" w:rsidP="00085286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p w:rsidR="00624C31" w:rsidRPr="002A42B1" w:rsidRDefault="00624C31" w:rsidP="00085286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  <w:r w:rsidRPr="002A42B1">
        <w:rPr>
          <w:rStyle w:val="Strong"/>
          <w:color w:val="000000"/>
        </w:rPr>
        <w:t>Задание №3 (по вариантам)</w:t>
      </w:r>
    </w:p>
    <w:p w:rsidR="00624C31" w:rsidRPr="002A42B1" w:rsidRDefault="00624C31" w:rsidP="00085286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color w:val="000000"/>
        </w:rPr>
      </w:pPr>
      <w:r w:rsidRPr="002A42B1">
        <w:rPr>
          <w:color w:val="000000"/>
        </w:rPr>
        <w:t xml:space="preserve">Организация приобрела легковой автомобиль. Первоначальная стоимость основного средства, сформированная в бухучете (в таблице).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925"/>
        <w:gridCol w:w="992"/>
      </w:tblGrid>
      <w:tr w:rsidR="00624C31" w:rsidRPr="002A42B1" w:rsidTr="000B4FCE">
        <w:trPr>
          <w:trHeight w:val="690"/>
        </w:trPr>
        <w:tc>
          <w:tcPr>
            <w:tcW w:w="870" w:type="dxa"/>
          </w:tcPr>
          <w:p w:rsidR="00624C31" w:rsidRPr="002A42B1" w:rsidRDefault="00624C31" w:rsidP="00110B43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925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  <w:tc>
          <w:tcPr>
            <w:tcW w:w="992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Сумма, (руб.)</w:t>
            </w:r>
          </w:p>
        </w:tc>
      </w:tr>
      <w:tr w:rsidR="00624C31" w:rsidRPr="002A42B1" w:rsidTr="000B4FCE">
        <w:trPr>
          <w:trHeight w:val="690"/>
        </w:trPr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Варианты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1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2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3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4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rPr>
                <w:sz w:val="20"/>
              </w:rPr>
            </w:pPr>
            <w:r w:rsidRPr="00051127">
              <w:rPr>
                <w:sz w:val="20"/>
              </w:rPr>
              <w:t>5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6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7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8</w:t>
            </w:r>
          </w:p>
        </w:tc>
        <w:tc>
          <w:tcPr>
            <w:tcW w:w="925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624C31" w:rsidRPr="00051127" w:rsidRDefault="00624C31" w:rsidP="00110B43">
            <w:pPr>
              <w:rPr>
                <w:sz w:val="20"/>
              </w:rPr>
            </w:pPr>
            <w:r w:rsidRPr="00051127">
              <w:rPr>
                <w:sz w:val="20"/>
              </w:rPr>
              <w:t>10</w:t>
            </w:r>
          </w:p>
        </w:tc>
      </w:tr>
      <w:tr w:rsidR="00624C31" w:rsidRPr="002A42B1" w:rsidTr="000B4FCE">
        <w:trPr>
          <w:trHeight w:val="690"/>
        </w:trPr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Стоимость (руб)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600 000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605 000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610 000</w:t>
            </w:r>
          </w:p>
        </w:tc>
        <w:tc>
          <w:tcPr>
            <w:tcW w:w="870" w:type="dxa"/>
          </w:tcPr>
          <w:p w:rsidR="00624C31" w:rsidRPr="00051127" w:rsidRDefault="00624C31" w:rsidP="00110B43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615 000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620 000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625 000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630 000</w:t>
            </w:r>
          </w:p>
        </w:tc>
        <w:tc>
          <w:tcPr>
            <w:tcW w:w="870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635 000</w:t>
            </w:r>
          </w:p>
        </w:tc>
        <w:tc>
          <w:tcPr>
            <w:tcW w:w="925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640 000</w:t>
            </w:r>
          </w:p>
        </w:tc>
        <w:tc>
          <w:tcPr>
            <w:tcW w:w="992" w:type="dxa"/>
          </w:tcPr>
          <w:p w:rsidR="00624C31" w:rsidRPr="00051127" w:rsidRDefault="00624C31" w:rsidP="000B4FCE">
            <w:pPr>
              <w:ind w:firstLine="0"/>
              <w:rPr>
                <w:sz w:val="20"/>
              </w:rPr>
            </w:pPr>
            <w:r w:rsidRPr="00051127">
              <w:rPr>
                <w:sz w:val="20"/>
              </w:rPr>
              <w:t>645 000</w:t>
            </w:r>
          </w:p>
        </w:tc>
      </w:tr>
    </w:tbl>
    <w:p w:rsidR="00624C31" w:rsidRPr="002A42B1" w:rsidRDefault="00624C31" w:rsidP="0017568D">
      <w:pPr>
        <w:pStyle w:val="NormalWeb"/>
        <w:shd w:val="clear" w:color="auto" w:fill="FFFFFF"/>
        <w:spacing w:before="0" w:beforeAutospacing="0" w:after="120" w:afterAutospacing="0" w:line="300" w:lineRule="atLeast"/>
        <w:ind w:left="600" w:firstLine="108"/>
        <w:jc w:val="both"/>
        <w:rPr>
          <w:color w:val="000000"/>
        </w:rPr>
      </w:pPr>
    </w:p>
    <w:p w:rsidR="00624C31" w:rsidRPr="002A42B1" w:rsidRDefault="00624C31" w:rsidP="00085286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color w:val="000000"/>
        </w:rPr>
      </w:pPr>
      <w:r w:rsidRPr="002A42B1">
        <w:rPr>
          <w:color w:val="000000"/>
        </w:rPr>
        <w:t>Автомобиль введен в эксплуатацию в декабре 2012 года. Срок полезного использования автомобиля – 4 года. Согласно учетной политике, в бухучете амортизация по транспортным средствам начисляется способом уменьшаемого остатка с применением повышающего коэффициента 2,0. Амортизацию по этому автомобилю начисляют с 2013 года. Остаточная стоимость на начало 2013 года равна его первоначальной, так как амортизация в 2012 году не начислялась.</w:t>
      </w:r>
    </w:p>
    <w:p w:rsidR="00624C31" w:rsidRPr="002A42B1" w:rsidRDefault="00624C31" w:rsidP="00085286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Годовая норма амортизации равна:</w:t>
      </w:r>
      <w:r w:rsidRPr="002A42B1">
        <w:rPr>
          <w:color w:val="000000"/>
        </w:rPr>
        <w:br/>
        <w:t>(1 : 4) х 100% = 25%.</w:t>
      </w:r>
    </w:p>
    <w:p w:rsidR="00624C31" w:rsidRPr="002A42B1" w:rsidRDefault="00624C31" w:rsidP="00085286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Произвести расчет амортизационных отчислений за период пол</w:t>
      </w:r>
      <w:r>
        <w:rPr>
          <w:color w:val="000000"/>
        </w:rPr>
        <w:t>езного использования автомобиля</w:t>
      </w:r>
      <w:r w:rsidRPr="002A42B1">
        <w:rPr>
          <w:color w:val="000000"/>
        </w:rPr>
        <w:t>.</w:t>
      </w:r>
    </w:p>
    <w:tbl>
      <w:tblPr>
        <w:tblW w:w="96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62"/>
        <w:gridCol w:w="1378"/>
        <w:gridCol w:w="1538"/>
        <w:gridCol w:w="2088"/>
        <w:gridCol w:w="1959"/>
        <w:gridCol w:w="1378"/>
      </w:tblGrid>
      <w:tr w:rsidR="00624C31" w:rsidRPr="002A42B1" w:rsidTr="00F80E3B">
        <w:trPr>
          <w:trHeight w:val="2650"/>
          <w:jc w:val="center"/>
        </w:trPr>
        <w:tc>
          <w:tcPr>
            <w:tcW w:w="15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F80E3B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80E3B">
              <w:rPr>
                <w:rStyle w:val="Strong"/>
                <w:color w:val="000000"/>
                <w:sz w:val="20"/>
                <w:szCs w:val="20"/>
              </w:rPr>
              <w:t>Год эксплуатации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F80E3B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80E3B">
              <w:rPr>
                <w:rStyle w:val="Strong"/>
                <w:color w:val="000000"/>
                <w:sz w:val="20"/>
                <w:szCs w:val="20"/>
              </w:rPr>
              <w:t>Остаточная стоимость на начало года, 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F80E3B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80E3B">
              <w:rPr>
                <w:rStyle w:val="Strong"/>
                <w:color w:val="000000"/>
                <w:sz w:val="20"/>
                <w:szCs w:val="20"/>
              </w:rPr>
              <w:t>Норма амортизации,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F80E3B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80E3B">
              <w:rPr>
                <w:rStyle w:val="Strong"/>
                <w:color w:val="000000"/>
                <w:sz w:val="20"/>
                <w:szCs w:val="20"/>
              </w:rPr>
              <w:t>Годовая сумма амортизационных отчислений с учетом повышающего коэффициента, руб. (графа 2 × графа 3 × 2,0)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F80E3B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80E3B">
              <w:rPr>
                <w:rStyle w:val="Strong"/>
                <w:color w:val="000000"/>
                <w:sz w:val="20"/>
                <w:szCs w:val="20"/>
              </w:rPr>
              <w:t>Ежемесячная сумма амортизационных отчислений в течение года, руб.</w:t>
            </w:r>
            <w:r w:rsidRPr="00F80E3B">
              <w:rPr>
                <w:color w:val="000000"/>
                <w:sz w:val="20"/>
                <w:szCs w:val="20"/>
              </w:rPr>
              <w:br/>
            </w:r>
            <w:r w:rsidRPr="00F80E3B">
              <w:rPr>
                <w:rStyle w:val="Strong"/>
                <w:color w:val="000000"/>
                <w:sz w:val="20"/>
                <w:szCs w:val="20"/>
              </w:rPr>
              <w:t>(графа 4 :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F80E3B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80E3B">
              <w:rPr>
                <w:rStyle w:val="Strong"/>
                <w:color w:val="000000"/>
                <w:sz w:val="20"/>
                <w:szCs w:val="20"/>
              </w:rPr>
              <w:t>Остаточная стоимость на конец года, руб.</w:t>
            </w:r>
            <w:r w:rsidRPr="00F80E3B">
              <w:rPr>
                <w:color w:val="000000"/>
                <w:sz w:val="20"/>
                <w:szCs w:val="20"/>
              </w:rPr>
              <w:br/>
            </w:r>
            <w:r w:rsidRPr="00F80E3B">
              <w:rPr>
                <w:rStyle w:val="Strong"/>
                <w:color w:val="000000"/>
                <w:sz w:val="20"/>
                <w:szCs w:val="20"/>
              </w:rPr>
              <w:t>(графа 2 – графа 4)</w:t>
            </w:r>
          </w:p>
        </w:tc>
      </w:tr>
      <w:tr w:rsidR="00624C31" w:rsidRPr="002A42B1" w:rsidTr="00F80E3B">
        <w:trPr>
          <w:trHeight w:val="461"/>
          <w:jc w:val="center"/>
        </w:trPr>
        <w:tc>
          <w:tcPr>
            <w:tcW w:w="15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color w:val="000000"/>
              </w:rPr>
              <w:t>6</w:t>
            </w:r>
          </w:p>
        </w:tc>
      </w:tr>
      <w:tr w:rsidR="00624C31" w:rsidRPr="002A42B1" w:rsidTr="00F80E3B">
        <w:trPr>
          <w:trHeight w:val="461"/>
          <w:jc w:val="center"/>
        </w:trPr>
        <w:tc>
          <w:tcPr>
            <w:tcW w:w="15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rStyle w:val="Strong"/>
                <w:color w:val="000000"/>
              </w:rPr>
              <w:t>2013 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</w:tr>
      <w:tr w:rsidR="00624C31" w:rsidRPr="002A42B1" w:rsidTr="00F80E3B">
        <w:trPr>
          <w:trHeight w:val="445"/>
          <w:jc w:val="center"/>
        </w:trPr>
        <w:tc>
          <w:tcPr>
            <w:tcW w:w="15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rStyle w:val="Strong"/>
                <w:color w:val="000000"/>
              </w:rPr>
              <w:t>2014 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</w:tr>
      <w:tr w:rsidR="00624C31" w:rsidRPr="002A42B1" w:rsidTr="00F80E3B">
        <w:trPr>
          <w:trHeight w:val="461"/>
          <w:jc w:val="center"/>
        </w:trPr>
        <w:tc>
          <w:tcPr>
            <w:tcW w:w="15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rStyle w:val="Strong"/>
                <w:color w:val="000000"/>
              </w:rPr>
              <w:t>2015 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</w:tr>
      <w:tr w:rsidR="00624C31" w:rsidRPr="002A42B1" w:rsidTr="00F80E3B">
        <w:trPr>
          <w:trHeight w:val="461"/>
          <w:jc w:val="center"/>
        </w:trPr>
        <w:tc>
          <w:tcPr>
            <w:tcW w:w="15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  <w:r w:rsidRPr="002A42B1">
              <w:rPr>
                <w:rStyle w:val="Strong"/>
                <w:color w:val="000000"/>
              </w:rPr>
              <w:t>2016 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</w:tcPr>
          <w:p w:rsidR="00624C31" w:rsidRPr="002A42B1" w:rsidRDefault="00624C31" w:rsidP="005E3692">
            <w:pPr>
              <w:pStyle w:val="NormalWeb"/>
              <w:spacing w:before="0" w:beforeAutospacing="0" w:after="90" w:afterAutospacing="0" w:line="240" w:lineRule="atLeast"/>
              <w:jc w:val="center"/>
              <w:rPr>
                <w:color w:val="000000"/>
              </w:rPr>
            </w:pPr>
          </w:p>
        </w:tc>
      </w:tr>
    </w:tbl>
    <w:p w:rsidR="00624C31" w:rsidRPr="002A42B1" w:rsidRDefault="00624C31" w:rsidP="005E3692">
      <w:pPr>
        <w:pStyle w:val="NormalWeb"/>
        <w:shd w:val="clear" w:color="auto" w:fill="FFFFFF"/>
        <w:spacing w:before="0" w:beforeAutospacing="0" w:after="120" w:afterAutospacing="0" w:line="300" w:lineRule="atLeast"/>
        <w:ind w:left="600"/>
        <w:rPr>
          <w:rStyle w:val="Strong"/>
          <w:color w:val="000000"/>
        </w:rPr>
      </w:pPr>
    </w:p>
    <w:p w:rsidR="00624C3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p w:rsidR="00624C3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p w:rsidR="00624C3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p w:rsidR="00624C3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p w:rsidR="00624C3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  <w:r w:rsidRPr="002A42B1">
        <w:rPr>
          <w:rStyle w:val="Strong"/>
          <w:color w:val="000000"/>
        </w:rPr>
        <w:t>Задание №4 (для всех вариантов)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color w:val="000000"/>
        </w:rPr>
      </w:pPr>
      <w:r w:rsidRPr="002A42B1">
        <w:rPr>
          <w:color w:val="000000"/>
        </w:rPr>
        <w:t>Организация приобрела конденсатный насос. Первоначальная стоимость основного средства – 45 000 руб. При вводе насоса в эксплуатацию был установлен срок его полезного использования – 2 года. Согласно учетной политике в бухучете амортизация по машинам и оборудованию начисляется способом списания стоимости по сумме чисел лет срока полезного использования.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Сумма чисел лет срока полезного использования насоса равна:</w:t>
      </w:r>
      <w:r w:rsidRPr="002A42B1">
        <w:rPr>
          <w:color w:val="000000"/>
        </w:rPr>
        <w:br/>
        <w:t>1 + 2 = 3.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rStyle w:val="Emphasis"/>
          <w:color w:val="000000"/>
        </w:rPr>
        <w:t>В первый год эксплуатации насоса.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Годовая сумма амортизации составит:_________________________________________</w:t>
      </w:r>
      <w:r w:rsidRPr="002A42B1">
        <w:rPr>
          <w:color w:val="000000"/>
        </w:rPr>
        <w:br/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Сумма ежемесячных амортизационных отчислений равна:_________________________</w:t>
      </w:r>
      <w:r w:rsidRPr="002A42B1">
        <w:rPr>
          <w:color w:val="000000"/>
        </w:rPr>
        <w:br/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rStyle w:val="Emphasis"/>
          <w:color w:val="000000"/>
        </w:rPr>
        <w:t>Во второй год эксплуатации насоса.</w:t>
      </w:r>
    </w:p>
    <w:p w:rsidR="00624C3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Годовая сумма амортизации составит:_________________________________________</w:t>
      </w:r>
      <w:r w:rsidRPr="002A42B1">
        <w:rPr>
          <w:color w:val="000000"/>
        </w:rPr>
        <w:br/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Сумма ежемесячных амортизационных отчислений равна:_________________________</w:t>
      </w:r>
      <w:r w:rsidRPr="002A42B1">
        <w:rPr>
          <w:color w:val="000000"/>
        </w:rPr>
        <w:br/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  <w:r w:rsidRPr="002A42B1">
        <w:rPr>
          <w:rStyle w:val="Strong"/>
          <w:color w:val="000000"/>
        </w:rPr>
        <w:t>Задание №5 (для всех вариантов)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color w:val="000000"/>
        </w:rPr>
      </w:pPr>
      <w:r w:rsidRPr="002A42B1">
        <w:rPr>
          <w:color w:val="000000"/>
        </w:rPr>
        <w:t>Организация приобрела кузнечный пресс, ресурс которого позволяет выпустить 100 000 изделий. Первоначальная стоимость пресса составляет 2 000 000 руб. Согласно учетной политике по кузнечно-прессовому оборудованию организация начисляет амортизацию пропорционально объему произведенной продукции.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В текущем году с использованием пресса было выпущено: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• в январе – 10 000 изделий;</w:t>
      </w:r>
      <w:r w:rsidRPr="002A42B1">
        <w:rPr>
          <w:color w:val="000000"/>
        </w:rPr>
        <w:br/>
        <w:t>• в феврале – 3000 изделий.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Сумма амортизации, начисленная по кузнечному прессу, составила.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В январе:___________________________________________________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В феврале:_________________________________________________</w:t>
      </w:r>
      <w:r w:rsidRPr="002A42B1">
        <w:rPr>
          <w:color w:val="000000"/>
        </w:rPr>
        <w:br/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  <w:r w:rsidRPr="002A42B1">
        <w:rPr>
          <w:rStyle w:val="Strong"/>
          <w:color w:val="000000"/>
        </w:rPr>
        <w:t>Задание №6 (для всех вариантов)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color w:val="000000"/>
        </w:rPr>
      </w:pPr>
      <w:r w:rsidRPr="002A42B1">
        <w:rPr>
          <w:color w:val="000000"/>
        </w:rPr>
        <w:t>Организация приобрела основное средство – ноутбук по цене 45 000 руб. (без НДС). Бухгалтер определил, что в соответствии с</w:t>
      </w:r>
      <w:r w:rsidRPr="002A42B1">
        <w:rPr>
          <w:rStyle w:val="apple-converted-space"/>
          <w:color w:val="000000"/>
        </w:rPr>
        <w:t> </w:t>
      </w:r>
      <w:hyperlink r:id="rId5" w:history="1">
        <w:r w:rsidRPr="00B610A5">
          <w:rPr>
            <w:rStyle w:val="Hyperlink"/>
            <w:i/>
            <w:color w:val="auto"/>
          </w:rPr>
          <w:t>Классификацией</w:t>
        </w:r>
      </w:hyperlink>
      <w:r w:rsidRPr="00B610A5">
        <w:rPr>
          <w:i/>
        </w:rPr>
        <w:t>, утвержденной</w:t>
      </w:r>
      <w:r w:rsidRPr="00B610A5">
        <w:rPr>
          <w:rStyle w:val="apple-converted-space"/>
          <w:i/>
        </w:rPr>
        <w:t> </w:t>
      </w:r>
      <w:hyperlink r:id="rId6" w:history="1">
        <w:r w:rsidRPr="00B610A5">
          <w:rPr>
            <w:rStyle w:val="Hyperlink"/>
            <w:i/>
            <w:color w:val="auto"/>
          </w:rPr>
          <w:t>постановлением Правительства РФ от 1 января 2002 г. № 1</w:t>
        </w:r>
      </w:hyperlink>
      <w:r w:rsidRPr="00B610A5">
        <w:t>,</w:t>
      </w:r>
      <w:r w:rsidRPr="002A42B1">
        <w:rPr>
          <w:color w:val="000000"/>
        </w:rPr>
        <w:t xml:space="preserve"> ноутбук относится ко второй группе (срок полезного использования от двух до трех лет).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color w:val="000000"/>
        </w:rPr>
      </w:pPr>
      <w:r w:rsidRPr="002A42B1">
        <w:rPr>
          <w:color w:val="000000"/>
        </w:rPr>
        <w:t>Организация решила, что расходы по данному основному средству будут списываться через амортизацию в течение 25 месяцев. Согласно учетной политике для целей налогообложения амортизация по компьютерной технике начисляется линейным методом. Амортизационная премия не применяется.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Бухгалтер организации так рассчитал норму амортизации:</w:t>
      </w:r>
      <w:r w:rsidRPr="002A42B1">
        <w:rPr>
          <w:color w:val="000000"/>
        </w:rPr>
        <w:br/>
        <w:t>1 : 25 мес. × 100% = 4%.</w:t>
      </w:r>
    </w:p>
    <w:p w:rsidR="00624C31" w:rsidRPr="002A42B1" w:rsidRDefault="00624C31" w:rsidP="006B5967">
      <w:pPr>
        <w:pStyle w:val="NormalWeb"/>
        <w:shd w:val="clear" w:color="auto" w:fill="FFFFFF"/>
        <w:spacing w:before="0" w:beforeAutospacing="0" w:after="120" w:afterAutospacing="0" w:line="300" w:lineRule="atLeast"/>
        <w:rPr>
          <w:color w:val="000000"/>
        </w:rPr>
      </w:pPr>
      <w:r w:rsidRPr="002A42B1">
        <w:rPr>
          <w:color w:val="000000"/>
        </w:rPr>
        <w:t>Ежемесячная сумма амортизации составила: _________________________________.</w:t>
      </w:r>
    </w:p>
    <w:sectPr w:rsidR="00624C31" w:rsidRPr="002A42B1" w:rsidSect="00F80E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22D"/>
    <w:multiLevelType w:val="multilevel"/>
    <w:tmpl w:val="BBC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B6E4A"/>
    <w:multiLevelType w:val="hybridMultilevel"/>
    <w:tmpl w:val="80D621A4"/>
    <w:lvl w:ilvl="0" w:tplc="D7883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C0483C"/>
    <w:multiLevelType w:val="multilevel"/>
    <w:tmpl w:val="AEF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00711"/>
    <w:multiLevelType w:val="hybridMultilevel"/>
    <w:tmpl w:val="01708264"/>
    <w:lvl w:ilvl="0" w:tplc="9D8A3E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602677F"/>
    <w:multiLevelType w:val="hybridMultilevel"/>
    <w:tmpl w:val="57D61960"/>
    <w:lvl w:ilvl="0" w:tplc="C0A655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B6B2822"/>
    <w:multiLevelType w:val="hybridMultilevel"/>
    <w:tmpl w:val="D78E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71283"/>
    <w:multiLevelType w:val="hybridMultilevel"/>
    <w:tmpl w:val="2E7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CB57B1"/>
    <w:multiLevelType w:val="multilevel"/>
    <w:tmpl w:val="B75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35F5D"/>
    <w:multiLevelType w:val="hybridMultilevel"/>
    <w:tmpl w:val="65B4399C"/>
    <w:lvl w:ilvl="0" w:tplc="894A4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711623F"/>
    <w:multiLevelType w:val="multilevel"/>
    <w:tmpl w:val="ADB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C234E"/>
    <w:multiLevelType w:val="multilevel"/>
    <w:tmpl w:val="5AA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4284E"/>
    <w:multiLevelType w:val="multilevel"/>
    <w:tmpl w:val="DF1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A7D92"/>
    <w:multiLevelType w:val="multilevel"/>
    <w:tmpl w:val="30E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514E5"/>
    <w:multiLevelType w:val="multilevel"/>
    <w:tmpl w:val="821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C08C7"/>
    <w:multiLevelType w:val="multilevel"/>
    <w:tmpl w:val="D62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9C4"/>
    <w:rsid w:val="0000056E"/>
    <w:rsid w:val="00051127"/>
    <w:rsid w:val="00082DC1"/>
    <w:rsid w:val="00085286"/>
    <w:rsid w:val="00095435"/>
    <w:rsid w:val="000A2CE3"/>
    <w:rsid w:val="000B4FCE"/>
    <w:rsid w:val="000F458E"/>
    <w:rsid w:val="00103EE9"/>
    <w:rsid w:val="00110B43"/>
    <w:rsid w:val="00121BF6"/>
    <w:rsid w:val="00130639"/>
    <w:rsid w:val="0017568D"/>
    <w:rsid w:val="001C3C9D"/>
    <w:rsid w:val="00207913"/>
    <w:rsid w:val="00210D8E"/>
    <w:rsid w:val="0025310B"/>
    <w:rsid w:val="0026173E"/>
    <w:rsid w:val="002A42B1"/>
    <w:rsid w:val="002D069B"/>
    <w:rsid w:val="002D5DF3"/>
    <w:rsid w:val="002E4796"/>
    <w:rsid w:val="00316379"/>
    <w:rsid w:val="00382282"/>
    <w:rsid w:val="00385B9C"/>
    <w:rsid w:val="0041422C"/>
    <w:rsid w:val="0042003A"/>
    <w:rsid w:val="00435572"/>
    <w:rsid w:val="00441D26"/>
    <w:rsid w:val="00475B40"/>
    <w:rsid w:val="004B107A"/>
    <w:rsid w:val="004C2116"/>
    <w:rsid w:val="004D2DD3"/>
    <w:rsid w:val="005A35F9"/>
    <w:rsid w:val="005E3692"/>
    <w:rsid w:val="00624C31"/>
    <w:rsid w:val="0065227D"/>
    <w:rsid w:val="00662E97"/>
    <w:rsid w:val="0069198B"/>
    <w:rsid w:val="006B5967"/>
    <w:rsid w:val="006E2425"/>
    <w:rsid w:val="007101CD"/>
    <w:rsid w:val="007477B5"/>
    <w:rsid w:val="00747A08"/>
    <w:rsid w:val="007A274A"/>
    <w:rsid w:val="007C7CA8"/>
    <w:rsid w:val="007E173D"/>
    <w:rsid w:val="008235C1"/>
    <w:rsid w:val="008409B6"/>
    <w:rsid w:val="008F31CB"/>
    <w:rsid w:val="00912A49"/>
    <w:rsid w:val="0093512C"/>
    <w:rsid w:val="00950C51"/>
    <w:rsid w:val="009A37E0"/>
    <w:rsid w:val="00A57B6A"/>
    <w:rsid w:val="00A951A0"/>
    <w:rsid w:val="00A97B9A"/>
    <w:rsid w:val="00AB7A40"/>
    <w:rsid w:val="00B610A5"/>
    <w:rsid w:val="00B66D8B"/>
    <w:rsid w:val="00B9609E"/>
    <w:rsid w:val="00B97A43"/>
    <w:rsid w:val="00BB4488"/>
    <w:rsid w:val="00C428BB"/>
    <w:rsid w:val="00C67E85"/>
    <w:rsid w:val="00CA6F46"/>
    <w:rsid w:val="00CD1F51"/>
    <w:rsid w:val="00CD55D0"/>
    <w:rsid w:val="00D23E87"/>
    <w:rsid w:val="00D36D17"/>
    <w:rsid w:val="00D84160"/>
    <w:rsid w:val="00DD0F0E"/>
    <w:rsid w:val="00E13AAF"/>
    <w:rsid w:val="00E439C4"/>
    <w:rsid w:val="00E63960"/>
    <w:rsid w:val="00E9238B"/>
    <w:rsid w:val="00EC47A6"/>
    <w:rsid w:val="00EE4FDF"/>
    <w:rsid w:val="00F030FB"/>
    <w:rsid w:val="00F16588"/>
    <w:rsid w:val="00F675B3"/>
    <w:rsid w:val="00F80E3B"/>
    <w:rsid w:val="00FB546F"/>
    <w:rsid w:val="00FB7567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D0"/>
    <w:pPr>
      <w:ind w:firstLine="340"/>
      <w:jc w:val="both"/>
    </w:pPr>
    <w:rPr>
      <w:rFonts w:ascii="Times New Roman" w:eastAsia="Times New Roman" w:hAnsi="Times New Roman"/>
      <w:szCs w:val="20"/>
    </w:rPr>
  </w:style>
  <w:style w:type="paragraph" w:styleId="Heading2">
    <w:name w:val="heading 2"/>
    <w:basedOn w:val="Normal"/>
    <w:link w:val="Heading2Char"/>
    <w:uiPriority w:val="99"/>
    <w:qFormat/>
    <w:rsid w:val="005E3692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5E3692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E369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69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rsid w:val="0093512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E3692"/>
    <w:rPr>
      <w:rFonts w:cs="Times New Roman"/>
    </w:rPr>
  </w:style>
  <w:style w:type="paragraph" w:styleId="NormalWeb">
    <w:name w:val="Normal (Web)"/>
    <w:basedOn w:val="Normal"/>
    <w:uiPriority w:val="99"/>
    <w:rsid w:val="005E36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5E369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E3692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1756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F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vbukh.ru/edoc/guid/BE346482-1222-40C1-9DF3-3733833C12D5" TargetMode="External"/><Relationship Id="rId5" Type="http://schemas.openxmlformats.org/officeDocument/2006/relationships/hyperlink" Target="http://www.glavbukh.ru/edoc/guid/0C80C515-EB1D-47B7-AB0D-419B0A767E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</TotalTime>
  <Pages>5</Pages>
  <Words>1114</Words>
  <Characters>6356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buh5</cp:lastModifiedBy>
  <cp:revision>39</cp:revision>
  <dcterms:created xsi:type="dcterms:W3CDTF">2015-01-25T05:29:00Z</dcterms:created>
  <dcterms:modified xsi:type="dcterms:W3CDTF">2016-01-15T07:49:00Z</dcterms:modified>
</cp:coreProperties>
</file>